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8D62B0" w14:textId="2F7B19AB" w:rsidR="001B3F71" w:rsidRPr="001B3F71" w:rsidRDefault="00BD6751" w:rsidP="0069034A">
      <w:pPr>
        <w:spacing w:before="120" w:after="120" w:line="240" w:lineRule="auto"/>
        <w:ind w:right="2051"/>
        <w:rPr>
          <w:rFonts w:ascii="Arial" w:hAnsi="Arial" w:cs="Arial"/>
          <w:b/>
          <w:sz w:val="24"/>
          <w:szCs w:val="24"/>
        </w:rPr>
      </w:pPr>
      <w:bookmarkStart w:id="0" w:name="_GoBack"/>
      <w:bookmarkEnd w:id="0"/>
      <w:r>
        <w:rPr>
          <w:rFonts w:ascii="Arial" w:hAnsi="Arial" w:cs="Arial"/>
          <w:b/>
          <w:sz w:val="24"/>
          <w:szCs w:val="24"/>
        </w:rPr>
        <w:t>From NCETM</w:t>
      </w:r>
      <w:r>
        <w:rPr>
          <w:rFonts w:ascii="Arial" w:hAnsi="Arial" w:cs="Arial"/>
          <w:b/>
          <w:sz w:val="24"/>
          <w:szCs w:val="24"/>
        </w:rPr>
        <w:br/>
      </w:r>
      <w:hyperlink r:id="rId7" w:anchor="ItemActions" w:history="1">
        <w:r>
          <w:rPr>
            <w:rStyle w:val="Hyperlink"/>
          </w:rPr>
          <w:t>https://www.ncetm.org.uk/Default.aspx?page=13&amp;module=res&amp;mode=100&amp;resid=54109&amp;#ItemActions</w:t>
        </w:r>
      </w:hyperlink>
    </w:p>
    <w:tbl>
      <w:tblPr>
        <w:tblW w:w="10845" w:type="dxa"/>
        <w:tblLayout w:type="fixed"/>
        <w:tblCellMar>
          <w:top w:w="15" w:type="dxa"/>
          <w:left w:w="15" w:type="dxa"/>
          <w:bottom w:w="15" w:type="dxa"/>
          <w:right w:w="15" w:type="dxa"/>
        </w:tblCellMar>
        <w:tblLook w:val="04A0" w:firstRow="1" w:lastRow="0" w:firstColumn="1" w:lastColumn="0" w:noHBand="0" w:noVBand="1"/>
      </w:tblPr>
      <w:tblGrid>
        <w:gridCol w:w="10845"/>
      </w:tblGrid>
      <w:tr w:rsidR="00BD6751" w14:paraId="203A0EDE" w14:textId="77777777" w:rsidTr="00BD6751">
        <w:tc>
          <w:tcPr>
            <w:tcW w:w="10845" w:type="dxa"/>
            <w:tcMar>
              <w:top w:w="0" w:type="dxa"/>
              <w:left w:w="0" w:type="dxa"/>
              <w:bottom w:w="0" w:type="dxa"/>
              <w:right w:w="0" w:type="dxa"/>
            </w:tcMar>
            <w:vAlign w:val="center"/>
            <w:hideMark/>
          </w:tcPr>
          <w:p w14:paraId="54A03BDB" w14:textId="4EFAAA68" w:rsidR="00BD6751" w:rsidRDefault="00BD6751" w:rsidP="0069034A">
            <w:pPr>
              <w:spacing w:before="120" w:after="120" w:line="240" w:lineRule="auto"/>
              <w:ind w:right="2053"/>
              <w:jc w:val="right"/>
              <w:textAlignment w:val="center"/>
              <w:rPr>
                <w:rFonts w:ascii="Arial" w:hAnsi="Arial" w:cs="Arial"/>
                <w:color w:val="333333"/>
                <w:sz w:val="19"/>
                <w:szCs w:val="19"/>
              </w:rPr>
            </w:pPr>
            <w:r>
              <w:rPr>
                <w:rFonts w:ascii="Arial" w:hAnsi="Arial" w:cs="Arial"/>
                <w:color w:val="333333"/>
                <w:sz w:val="19"/>
                <w:szCs w:val="19"/>
              </w:rPr>
              <w:t>Created on 28 November 2019 by </w:t>
            </w:r>
            <w:hyperlink r:id="rId8" w:history="1">
              <w:r>
                <w:rPr>
                  <w:rStyle w:val="Hyperlink"/>
                  <w:rFonts w:ascii="Arial" w:hAnsi="Arial" w:cs="Arial"/>
                  <w:b/>
                  <w:bCs/>
                  <w:color w:val="996699"/>
                  <w:sz w:val="19"/>
                  <w:szCs w:val="19"/>
                </w:rPr>
                <w:t>ncetm_administrator</w:t>
              </w:r>
            </w:hyperlink>
          </w:p>
          <w:p w14:paraId="22252856" w14:textId="77777777" w:rsidR="00BD6751" w:rsidRDefault="00BD6751" w:rsidP="0069034A">
            <w:pPr>
              <w:spacing w:before="120" w:after="120" w:line="240" w:lineRule="auto"/>
              <w:ind w:right="2053"/>
              <w:jc w:val="right"/>
              <w:textAlignment w:val="center"/>
              <w:rPr>
                <w:rFonts w:ascii="Arial" w:hAnsi="Arial" w:cs="Arial"/>
                <w:color w:val="333333"/>
                <w:sz w:val="19"/>
                <w:szCs w:val="19"/>
              </w:rPr>
            </w:pPr>
            <w:r>
              <w:rPr>
                <w:rFonts w:ascii="Arial" w:hAnsi="Arial" w:cs="Arial"/>
                <w:color w:val="333333"/>
                <w:sz w:val="19"/>
                <w:szCs w:val="19"/>
              </w:rPr>
              <w:t>Updated on 03 December 2019 by </w:t>
            </w:r>
            <w:hyperlink r:id="rId9" w:history="1">
              <w:r>
                <w:rPr>
                  <w:rStyle w:val="Hyperlink"/>
                  <w:rFonts w:ascii="Arial" w:hAnsi="Arial" w:cs="Arial"/>
                  <w:b/>
                  <w:bCs/>
                  <w:color w:val="996699"/>
                  <w:sz w:val="19"/>
                  <w:szCs w:val="19"/>
                </w:rPr>
                <w:t>ncetm_administrator</w:t>
              </w:r>
            </w:hyperlink>
          </w:p>
          <w:p w14:paraId="58B6849F" w14:textId="2C719A40" w:rsidR="00BD6751" w:rsidRDefault="00BD6751" w:rsidP="0069034A">
            <w:pPr>
              <w:pStyle w:val="Heading2"/>
              <w:spacing w:before="120" w:beforeAutospacing="0" w:after="120" w:afterAutospacing="0"/>
              <w:ind w:right="2051"/>
              <w:rPr>
                <w:rFonts w:ascii="Arial" w:hAnsi="Arial" w:cs="Arial"/>
                <w:color w:val="333333"/>
                <w:sz w:val="33"/>
                <w:szCs w:val="33"/>
              </w:rPr>
            </w:pPr>
            <w:r>
              <w:rPr>
                <w:rFonts w:ascii="Arial" w:hAnsi="Arial" w:cs="Arial"/>
                <w:color w:val="333333"/>
                <w:sz w:val="33"/>
                <w:szCs w:val="33"/>
              </w:rPr>
              <w:t>Completing the square</w:t>
            </w:r>
          </w:p>
          <w:p w14:paraId="6D0AB54E" w14:textId="104869F0"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Style w:val="Emphasis"/>
                <w:rFonts w:ascii="Arial" w:hAnsi="Arial" w:cs="Arial"/>
                <w:color w:val="333333"/>
                <w:sz w:val="22"/>
                <w:szCs w:val="22"/>
              </w:rPr>
              <w:t>How many times have you taught a Year 11 class how to ‘complete the square?’ Have you ever wondered what square you are completing? In how many of those lessons have you shown an actual, physical square then added some other bits to ‘complete’ it? Or has your board just got filled up with algebraic expressions?</w:t>
            </w:r>
          </w:p>
          <w:p w14:paraId="4EDA609B" w14:textId="7758E150"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In this article, we show how algebra tiles can give some insight into completing the square and how two teachers have used the</w:t>
            </w:r>
            <w:hyperlink r:id="rId10" w:tgtFrame="_blank" w:history="1">
              <w:r w:rsidRPr="00BD6751">
                <w:rPr>
                  <w:rStyle w:val="Hyperlink"/>
                  <w:rFonts w:ascii="Arial" w:hAnsi="Arial" w:cs="Arial"/>
                  <w:b/>
                  <w:bCs/>
                  <w:color w:val="996699"/>
                  <w:sz w:val="22"/>
                  <w:szCs w:val="22"/>
                </w:rPr>
                <w:t> Algebra Tiles Guidance Document</w:t>
              </w:r>
            </w:hyperlink>
            <w:r w:rsidRPr="00BD6751">
              <w:rPr>
                <w:rFonts w:ascii="Arial" w:hAnsi="Arial" w:cs="Arial"/>
                <w:color w:val="333333"/>
                <w:sz w:val="22"/>
                <w:szCs w:val="22"/>
              </w:rPr>
              <w:t> from the </w:t>
            </w:r>
            <w:hyperlink r:id="rId11" w:history="1">
              <w:r w:rsidRPr="00BD6751">
                <w:rPr>
                  <w:rStyle w:val="Hyperlink"/>
                  <w:rFonts w:ascii="Arial" w:hAnsi="Arial" w:cs="Arial"/>
                  <w:b/>
                  <w:bCs/>
                  <w:color w:val="996699"/>
                  <w:sz w:val="22"/>
                  <w:szCs w:val="22"/>
                </w:rPr>
                <w:t>Secondary Mastery Professional Development Materials</w:t>
              </w:r>
            </w:hyperlink>
            <w:r w:rsidRPr="00BD6751">
              <w:rPr>
                <w:rFonts w:ascii="Arial" w:hAnsi="Arial" w:cs="Arial"/>
                <w:color w:val="333333"/>
                <w:sz w:val="22"/>
                <w:szCs w:val="22"/>
              </w:rPr>
              <w:t> to support their teaching.</w:t>
            </w:r>
          </w:p>
          <w:p w14:paraId="2AB8EA1C" w14:textId="5F48789D"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First, let’s look at this diagrammatic representation of completing the square.</w:t>
            </w:r>
          </w:p>
          <w:p w14:paraId="12F9F8CF" w14:textId="290279D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Here are some algebra tiles that represent: </w:t>
            </w:r>
            <w:r w:rsidRPr="00BD6751">
              <w:rPr>
                <w:rFonts w:ascii="Arial" w:hAnsi="Arial" w:cs="Arial"/>
                <w:noProof/>
                <w:color w:val="333333"/>
                <w:sz w:val="22"/>
                <w:szCs w:val="22"/>
              </w:rPr>
              <w:drawing>
                <wp:inline distT="0" distB="0" distL="0" distR="0" wp14:anchorId="42169B3C" wp14:editId="0AE55129">
                  <wp:extent cx="139700" cy="116205"/>
                  <wp:effectExtent l="0" t="0" r="0" b="0"/>
                  <wp:docPr id="35" name="Picture 35"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700" cy="116205"/>
                          </a:xfrm>
                          <a:prstGeom prst="rect">
                            <a:avLst/>
                          </a:prstGeom>
                          <a:noFill/>
                          <a:ln>
                            <a:noFill/>
                          </a:ln>
                        </pic:spPr>
                      </pic:pic>
                    </a:graphicData>
                  </a:graphic>
                </wp:inline>
              </w:drawing>
            </w:r>
            <w:r w:rsidRPr="00BD6751">
              <w:rPr>
                <w:rFonts w:ascii="Arial" w:hAnsi="Arial" w:cs="Arial"/>
                <w:color w:val="333333"/>
                <w:sz w:val="22"/>
                <w:szCs w:val="22"/>
              </w:rPr>
              <w:t>, </w:t>
            </w:r>
            <w:r w:rsidRPr="00BD6751">
              <w:rPr>
                <w:rFonts w:ascii="Arial" w:hAnsi="Arial" w:cs="Arial"/>
                <w:noProof/>
                <w:color w:val="333333"/>
                <w:sz w:val="22"/>
                <w:szCs w:val="22"/>
              </w:rPr>
              <w:drawing>
                <wp:inline distT="0" distB="0" distL="0" distR="0" wp14:anchorId="784E11BA" wp14:editId="0149706F">
                  <wp:extent cx="93345" cy="75565"/>
                  <wp:effectExtent l="0" t="0" r="1905" b="635"/>
                  <wp:docPr id="34" name="Picture 34"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 cy="75565"/>
                          </a:xfrm>
                          <a:prstGeom prst="rect">
                            <a:avLst/>
                          </a:prstGeom>
                          <a:noFill/>
                          <a:ln>
                            <a:noFill/>
                          </a:ln>
                        </pic:spPr>
                      </pic:pic>
                    </a:graphicData>
                  </a:graphic>
                </wp:inline>
              </w:drawing>
            </w:r>
            <w:r w:rsidRPr="00BD6751">
              <w:rPr>
                <w:rFonts w:ascii="Arial" w:hAnsi="Arial" w:cs="Arial"/>
                <w:color w:val="333333"/>
                <w:sz w:val="22"/>
                <w:szCs w:val="22"/>
              </w:rPr>
              <w:t>, and </w:t>
            </w:r>
            <w:r w:rsidRPr="00BD6751">
              <w:rPr>
                <w:rFonts w:ascii="Arial" w:hAnsi="Arial" w:cs="Arial"/>
                <w:noProof/>
                <w:color w:val="333333"/>
                <w:sz w:val="22"/>
                <w:szCs w:val="22"/>
              </w:rPr>
              <w:drawing>
                <wp:inline distT="0" distB="0" distL="0" distR="0" wp14:anchorId="660B10F7" wp14:editId="03A8A456">
                  <wp:extent cx="174625" cy="93345"/>
                  <wp:effectExtent l="0" t="0" r="0" b="1905"/>
                  <wp:docPr id="33" name="Picture 3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625" cy="93345"/>
                          </a:xfrm>
                          <a:prstGeom prst="rect">
                            <a:avLst/>
                          </a:prstGeom>
                          <a:noFill/>
                          <a:ln>
                            <a:noFill/>
                          </a:ln>
                        </pic:spPr>
                      </pic:pic>
                    </a:graphicData>
                  </a:graphic>
                </wp:inline>
              </w:drawing>
            </w:r>
            <w:r w:rsidRPr="00BD6751">
              <w:rPr>
                <w:rFonts w:ascii="Arial" w:hAnsi="Arial" w:cs="Arial"/>
                <w:color w:val="333333"/>
                <w:sz w:val="22"/>
                <w:szCs w:val="22"/>
              </w:rPr>
              <w:t> </w:t>
            </w:r>
            <w:r>
              <w:rPr>
                <w:rFonts w:ascii="Arial" w:hAnsi="Arial" w:cs="Arial"/>
                <w:color w:val="333333"/>
                <w:sz w:val="22"/>
                <w:szCs w:val="22"/>
              </w:rPr>
              <w:t xml:space="preserve"> </w:t>
            </w:r>
            <w:r>
              <w:rPr>
                <w:rFonts w:ascii="Arial" w:hAnsi="Arial" w:cs="Arial"/>
                <w:color w:val="333333"/>
                <w:sz w:val="22"/>
                <w:szCs w:val="22"/>
              </w:rPr>
              <w:br/>
            </w:r>
            <w:r w:rsidRPr="00BD6751">
              <w:rPr>
                <w:rFonts w:ascii="Arial" w:hAnsi="Arial" w:cs="Arial"/>
                <w:color w:val="333333"/>
                <w:sz w:val="22"/>
                <w:szCs w:val="22"/>
              </w:rPr>
              <w:t>[dimensions </w:t>
            </w:r>
            <w:r w:rsidRPr="00BD6751">
              <w:rPr>
                <w:rFonts w:ascii="Arial" w:hAnsi="Arial" w:cs="Arial"/>
                <w:noProof/>
                <w:color w:val="333333"/>
                <w:sz w:val="22"/>
                <w:szCs w:val="22"/>
              </w:rPr>
              <w:drawing>
                <wp:inline distT="0" distB="0" distL="0" distR="0" wp14:anchorId="5196D26F" wp14:editId="465F44DF">
                  <wp:extent cx="93345" cy="75565"/>
                  <wp:effectExtent l="0" t="0" r="1905" b="635"/>
                  <wp:docPr id="32" name="Picture 32"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 cy="75565"/>
                          </a:xfrm>
                          <a:prstGeom prst="rect">
                            <a:avLst/>
                          </a:prstGeom>
                          <a:noFill/>
                          <a:ln>
                            <a:noFill/>
                          </a:ln>
                        </pic:spPr>
                      </pic:pic>
                    </a:graphicData>
                  </a:graphic>
                </wp:inline>
              </w:drawing>
            </w:r>
            <w:r w:rsidRPr="00BD6751">
              <w:rPr>
                <w:rFonts w:ascii="Arial" w:hAnsi="Arial" w:cs="Arial"/>
                <w:color w:val="333333"/>
                <w:sz w:val="22"/>
                <w:szCs w:val="22"/>
              </w:rPr>
              <w:t> by </w:t>
            </w:r>
            <w:r w:rsidRPr="00BD6751">
              <w:rPr>
                <w:rFonts w:ascii="Arial" w:hAnsi="Arial" w:cs="Arial"/>
                <w:noProof/>
                <w:color w:val="333333"/>
                <w:sz w:val="22"/>
                <w:szCs w:val="22"/>
              </w:rPr>
              <w:drawing>
                <wp:inline distT="0" distB="0" distL="0" distR="0" wp14:anchorId="2213CC16" wp14:editId="489308D7">
                  <wp:extent cx="93345" cy="75565"/>
                  <wp:effectExtent l="0" t="0" r="1905" b="635"/>
                  <wp:docPr id="31" name="Picture 31"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 cy="75565"/>
                          </a:xfrm>
                          <a:prstGeom prst="rect">
                            <a:avLst/>
                          </a:prstGeom>
                          <a:noFill/>
                          <a:ln>
                            <a:noFill/>
                          </a:ln>
                        </pic:spPr>
                      </pic:pic>
                    </a:graphicData>
                  </a:graphic>
                </wp:inline>
              </w:drawing>
            </w:r>
            <w:r w:rsidRPr="00BD6751">
              <w:rPr>
                <w:rFonts w:ascii="Arial" w:hAnsi="Arial" w:cs="Arial"/>
                <w:color w:val="333333"/>
                <w:sz w:val="22"/>
                <w:szCs w:val="22"/>
              </w:rPr>
              <w:t>, </w:t>
            </w:r>
            <w:r w:rsidRPr="00BD6751">
              <w:rPr>
                <w:rFonts w:ascii="Arial" w:hAnsi="Arial" w:cs="Arial"/>
                <w:noProof/>
                <w:color w:val="333333"/>
                <w:sz w:val="22"/>
                <w:szCs w:val="22"/>
              </w:rPr>
              <w:drawing>
                <wp:inline distT="0" distB="0" distL="0" distR="0" wp14:anchorId="6C8920B6" wp14:editId="16F39005">
                  <wp:extent cx="93345" cy="75565"/>
                  <wp:effectExtent l="0" t="0" r="1905" b="635"/>
                  <wp:docPr id="30" name="Picture 30"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 cy="75565"/>
                          </a:xfrm>
                          <a:prstGeom prst="rect">
                            <a:avLst/>
                          </a:prstGeom>
                          <a:noFill/>
                          <a:ln>
                            <a:noFill/>
                          </a:ln>
                        </pic:spPr>
                      </pic:pic>
                    </a:graphicData>
                  </a:graphic>
                </wp:inline>
              </w:drawing>
            </w:r>
            <w:r w:rsidRPr="00BD6751">
              <w:rPr>
                <w:rFonts w:ascii="Arial" w:hAnsi="Arial" w:cs="Arial"/>
                <w:color w:val="333333"/>
                <w:sz w:val="22"/>
                <w:szCs w:val="22"/>
              </w:rPr>
              <w:t> by </w:t>
            </w:r>
            <w:r w:rsidRPr="00BD6751">
              <w:rPr>
                <w:rFonts w:ascii="Arial" w:hAnsi="Arial" w:cs="Arial"/>
                <w:noProof/>
                <w:color w:val="333333"/>
                <w:sz w:val="22"/>
                <w:szCs w:val="22"/>
              </w:rPr>
              <w:drawing>
                <wp:inline distT="0" distB="0" distL="0" distR="0" wp14:anchorId="63B8D336" wp14:editId="1E1AD03B">
                  <wp:extent cx="64135" cy="93345"/>
                  <wp:effectExtent l="0" t="0" r="0" b="1905"/>
                  <wp:docPr id="29" name="Picture 2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135" cy="93345"/>
                          </a:xfrm>
                          <a:prstGeom prst="rect">
                            <a:avLst/>
                          </a:prstGeom>
                          <a:noFill/>
                          <a:ln>
                            <a:noFill/>
                          </a:ln>
                        </pic:spPr>
                      </pic:pic>
                    </a:graphicData>
                  </a:graphic>
                </wp:inline>
              </w:drawing>
            </w:r>
            <w:r w:rsidRPr="00BD6751">
              <w:rPr>
                <w:rFonts w:ascii="Arial" w:hAnsi="Arial" w:cs="Arial"/>
                <w:color w:val="333333"/>
                <w:sz w:val="22"/>
                <w:szCs w:val="22"/>
              </w:rPr>
              <w:t> and </w:t>
            </w:r>
            <w:r w:rsidRPr="00BD6751">
              <w:rPr>
                <w:rFonts w:ascii="Arial" w:hAnsi="Arial" w:cs="Arial"/>
                <w:noProof/>
                <w:color w:val="333333"/>
                <w:sz w:val="22"/>
                <w:szCs w:val="22"/>
              </w:rPr>
              <w:drawing>
                <wp:inline distT="0" distB="0" distL="0" distR="0" wp14:anchorId="448BAA70" wp14:editId="11629EAD">
                  <wp:extent cx="64135" cy="93345"/>
                  <wp:effectExtent l="0" t="0" r="0" b="1905"/>
                  <wp:docPr id="28" name="Picture 2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135" cy="93345"/>
                          </a:xfrm>
                          <a:prstGeom prst="rect">
                            <a:avLst/>
                          </a:prstGeom>
                          <a:noFill/>
                          <a:ln>
                            <a:noFill/>
                          </a:ln>
                        </pic:spPr>
                      </pic:pic>
                    </a:graphicData>
                  </a:graphic>
                </wp:inline>
              </w:drawing>
            </w:r>
            <w:r w:rsidRPr="00BD6751">
              <w:rPr>
                <w:rFonts w:ascii="Arial" w:hAnsi="Arial" w:cs="Arial"/>
                <w:color w:val="333333"/>
                <w:sz w:val="22"/>
                <w:szCs w:val="22"/>
              </w:rPr>
              <w:t> by </w:t>
            </w:r>
            <w:r w:rsidRPr="00BD6751">
              <w:rPr>
                <w:rFonts w:ascii="Arial" w:hAnsi="Arial" w:cs="Arial"/>
                <w:noProof/>
                <w:color w:val="333333"/>
                <w:sz w:val="22"/>
                <w:szCs w:val="22"/>
              </w:rPr>
              <w:drawing>
                <wp:inline distT="0" distB="0" distL="0" distR="0" wp14:anchorId="3D167323" wp14:editId="70E715EA">
                  <wp:extent cx="64135" cy="93345"/>
                  <wp:effectExtent l="0" t="0" r="0" b="1905"/>
                  <wp:docPr id="27" name="Picture 2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135" cy="93345"/>
                          </a:xfrm>
                          <a:prstGeom prst="rect">
                            <a:avLst/>
                          </a:prstGeom>
                          <a:noFill/>
                          <a:ln>
                            <a:noFill/>
                          </a:ln>
                        </pic:spPr>
                      </pic:pic>
                    </a:graphicData>
                  </a:graphic>
                </wp:inline>
              </w:drawing>
            </w:r>
            <w:r w:rsidRPr="00BD6751">
              <w:rPr>
                <w:rFonts w:ascii="Arial" w:hAnsi="Arial" w:cs="Arial"/>
                <w:color w:val="333333"/>
                <w:sz w:val="22"/>
                <w:szCs w:val="22"/>
              </w:rPr>
              <w:t> respectively].</w:t>
            </w:r>
          </w:p>
          <w:p w14:paraId="1ACADF5D" w14:textId="2237CC9B" w:rsid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noProof/>
                <w:color w:val="333333"/>
                <w:sz w:val="22"/>
                <w:szCs w:val="22"/>
              </w:rPr>
              <w:drawing>
                <wp:anchor distT="0" distB="0" distL="114300" distR="114300" simplePos="0" relativeHeight="251659264" behindDoc="0" locked="0" layoutInCell="1" allowOverlap="1" wp14:anchorId="214BE780" wp14:editId="14A53E16">
                  <wp:simplePos x="0" y="0"/>
                  <wp:positionH relativeFrom="column">
                    <wp:posOffset>382772</wp:posOffset>
                  </wp:positionH>
                  <wp:positionV relativeFrom="paragraph">
                    <wp:posOffset>812</wp:posOffset>
                  </wp:positionV>
                  <wp:extent cx="3331210" cy="2370455"/>
                  <wp:effectExtent l="0" t="0" r="254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31210" cy="2370455"/>
                          </a:xfrm>
                          <a:prstGeom prst="rect">
                            <a:avLst/>
                          </a:prstGeom>
                          <a:noFill/>
                          <a:ln>
                            <a:noFill/>
                          </a:ln>
                        </pic:spPr>
                      </pic:pic>
                    </a:graphicData>
                  </a:graphic>
                </wp:anchor>
              </w:drawing>
            </w:r>
          </w:p>
          <w:p w14:paraId="27440040" w14:textId="594F76D4"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3E815C0B" w14:textId="03B4E71E"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4E132A90" w14:textId="7CEB86ED"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5A8F4A01" w14:textId="617EF56D"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7954FB03" w14:textId="1DDE180B"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34B301F5" w14:textId="37E029D6"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1BA40E00" w14:textId="26DA4B57"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18EB5708" w14:textId="2DF8F72B"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3CE32982" w14:textId="71BC4035"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4606E0F3"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p>
          <w:p w14:paraId="73E7B52B" w14:textId="74926E25"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To represent the quadratic </w:t>
            </w:r>
            <w:r w:rsidRPr="00BD6751">
              <w:rPr>
                <w:rFonts w:ascii="Arial" w:hAnsi="Arial" w:cs="Arial"/>
                <w:noProof/>
                <w:color w:val="333333"/>
                <w:sz w:val="22"/>
                <w:szCs w:val="22"/>
              </w:rPr>
              <w:drawing>
                <wp:inline distT="0" distB="0" distL="0" distR="0" wp14:anchorId="77FCCE8C" wp14:editId="4DAF48D4">
                  <wp:extent cx="692785" cy="116205"/>
                  <wp:effectExtent l="0" t="0" r="0" b="0"/>
                  <wp:docPr id="25" name="Picture 25" descr="x^{2}+6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x^{2}+6x+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2785" cy="116205"/>
                          </a:xfrm>
                          <a:prstGeom prst="rect">
                            <a:avLst/>
                          </a:prstGeom>
                          <a:noFill/>
                          <a:ln>
                            <a:noFill/>
                          </a:ln>
                        </pic:spPr>
                      </pic:pic>
                    </a:graphicData>
                  </a:graphic>
                </wp:inline>
              </w:drawing>
            </w:r>
            <w:r w:rsidRPr="00BD6751">
              <w:rPr>
                <w:rFonts w:ascii="Arial" w:hAnsi="Arial" w:cs="Arial"/>
                <w:color w:val="333333"/>
                <w:sz w:val="22"/>
                <w:szCs w:val="22"/>
              </w:rPr>
              <w:t>, I would use these tiles:</w:t>
            </w:r>
          </w:p>
          <w:p w14:paraId="1B1E3047" w14:textId="20948F56" w:rsid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noProof/>
                <w:color w:val="333333"/>
                <w:sz w:val="22"/>
                <w:szCs w:val="22"/>
              </w:rPr>
              <w:drawing>
                <wp:anchor distT="0" distB="0" distL="114300" distR="114300" simplePos="0" relativeHeight="251660288" behindDoc="0" locked="0" layoutInCell="1" allowOverlap="1" wp14:anchorId="388CC1C7" wp14:editId="2E9E8A96">
                  <wp:simplePos x="0" y="0"/>
                  <wp:positionH relativeFrom="column">
                    <wp:posOffset>519430</wp:posOffset>
                  </wp:positionH>
                  <wp:positionV relativeFrom="paragraph">
                    <wp:posOffset>59690</wp:posOffset>
                  </wp:positionV>
                  <wp:extent cx="3331210" cy="2370455"/>
                  <wp:effectExtent l="0" t="0" r="254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1210" cy="2370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0755CB" w14:textId="17731BE0"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36010CA9" w14:textId="614F7048"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3F935F89" w14:textId="13C4DB65"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02217641" w14:textId="2ABE7E8A"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69093E16" w14:textId="77777777"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28909B6" w14:textId="5D4EDE7A"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35B9CBC2" w14:textId="77777777"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7ADE7C3A" w14:textId="4450C4EA"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699F2AFC" w14:textId="4A50FF30"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702EDECB" w14:textId="690C5775"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lastRenderedPageBreak/>
              <w:t>Now, if I were to try to create a square from those tiles using them all, I can see that I am four yellow (</w:t>
            </w:r>
            <w:r w:rsidRPr="00BD6751">
              <w:rPr>
                <w:rFonts w:ascii="Arial" w:hAnsi="Arial" w:cs="Arial"/>
                <w:noProof/>
                <w:color w:val="333333"/>
                <w:sz w:val="22"/>
                <w:szCs w:val="22"/>
              </w:rPr>
              <w:drawing>
                <wp:inline distT="0" distB="0" distL="0" distR="0" wp14:anchorId="0AF2BEF2" wp14:editId="2BA41034">
                  <wp:extent cx="174625" cy="93345"/>
                  <wp:effectExtent l="0" t="0" r="0" b="1905"/>
                  <wp:docPr id="23" name="Picture 2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625" cy="93345"/>
                          </a:xfrm>
                          <a:prstGeom prst="rect">
                            <a:avLst/>
                          </a:prstGeom>
                          <a:noFill/>
                          <a:ln>
                            <a:noFill/>
                          </a:ln>
                        </pic:spPr>
                      </pic:pic>
                    </a:graphicData>
                  </a:graphic>
                </wp:inline>
              </w:drawing>
            </w:r>
            <w:r w:rsidRPr="00BD6751">
              <w:rPr>
                <w:rFonts w:ascii="Arial" w:hAnsi="Arial" w:cs="Arial"/>
                <w:color w:val="333333"/>
                <w:sz w:val="22"/>
                <w:szCs w:val="22"/>
              </w:rPr>
              <w:t>) tiles short:</w:t>
            </w:r>
          </w:p>
          <w:p w14:paraId="51260B21" w14:textId="43A4D073"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noProof/>
                <w:color w:val="333333"/>
                <w:sz w:val="22"/>
                <w:szCs w:val="22"/>
              </w:rPr>
              <w:drawing>
                <wp:inline distT="0" distB="0" distL="0" distR="0" wp14:anchorId="1D94009D" wp14:editId="7702DB52">
                  <wp:extent cx="3331210" cy="2370455"/>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31210" cy="2370455"/>
                          </a:xfrm>
                          <a:prstGeom prst="rect">
                            <a:avLst/>
                          </a:prstGeom>
                          <a:noFill/>
                          <a:ln>
                            <a:noFill/>
                          </a:ln>
                        </pic:spPr>
                      </pic:pic>
                    </a:graphicData>
                  </a:graphic>
                </wp:inline>
              </w:drawing>
            </w:r>
          </w:p>
          <w:p w14:paraId="3B85D4B8" w14:textId="2F6B8062"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This shows that the square </w:t>
            </w:r>
            <w:r w:rsidRPr="00BD6751">
              <w:rPr>
                <w:rFonts w:ascii="Arial" w:hAnsi="Arial" w:cs="Arial"/>
                <w:noProof/>
                <w:color w:val="333333"/>
                <w:sz w:val="22"/>
                <w:szCs w:val="22"/>
              </w:rPr>
              <w:drawing>
                <wp:inline distT="0" distB="0" distL="0" distR="0" wp14:anchorId="51E85170" wp14:editId="63437EFC">
                  <wp:extent cx="477520" cy="139700"/>
                  <wp:effectExtent l="0" t="0" r="0" b="0"/>
                  <wp:docPr id="21" name="Picture 21" descr="(x+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x+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7520" cy="139700"/>
                          </a:xfrm>
                          <a:prstGeom prst="rect">
                            <a:avLst/>
                          </a:prstGeom>
                          <a:noFill/>
                          <a:ln>
                            <a:noFill/>
                          </a:ln>
                        </pic:spPr>
                      </pic:pic>
                    </a:graphicData>
                  </a:graphic>
                </wp:inline>
              </w:drawing>
            </w:r>
            <w:r w:rsidRPr="00BD6751">
              <w:rPr>
                <w:rFonts w:ascii="Arial" w:hAnsi="Arial" w:cs="Arial"/>
                <w:color w:val="333333"/>
                <w:sz w:val="22"/>
                <w:szCs w:val="22"/>
              </w:rPr>
              <w:t> is </w:t>
            </w:r>
            <w:r w:rsidRPr="00BD6751">
              <w:rPr>
                <w:rFonts w:ascii="Arial" w:hAnsi="Arial" w:cs="Arial"/>
                <w:noProof/>
                <w:color w:val="333333"/>
                <w:sz w:val="22"/>
                <w:szCs w:val="22"/>
              </w:rPr>
              <w:drawing>
                <wp:inline distT="0" distB="0" distL="0" distR="0" wp14:anchorId="58891DB0" wp14:editId="60296FFE">
                  <wp:extent cx="174625" cy="93345"/>
                  <wp:effectExtent l="0" t="0" r="0" b="1905"/>
                  <wp:docPr id="20" name="Picture 2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4625" cy="93345"/>
                          </a:xfrm>
                          <a:prstGeom prst="rect">
                            <a:avLst/>
                          </a:prstGeom>
                          <a:noFill/>
                          <a:ln>
                            <a:noFill/>
                          </a:ln>
                        </pic:spPr>
                      </pic:pic>
                    </a:graphicData>
                  </a:graphic>
                </wp:inline>
              </w:drawing>
            </w:r>
            <w:r w:rsidRPr="00BD6751">
              <w:rPr>
                <w:rFonts w:ascii="Arial" w:hAnsi="Arial" w:cs="Arial"/>
                <w:color w:val="333333"/>
                <w:sz w:val="22"/>
                <w:szCs w:val="22"/>
              </w:rPr>
              <w:t> bigger than the quadratic I started with, </w:t>
            </w:r>
            <w:r w:rsidRPr="00BD6751">
              <w:rPr>
                <w:rFonts w:ascii="Arial" w:hAnsi="Arial" w:cs="Arial"/>
                <w:noProof/>
                <w:color w:val="333333"/>
                <w:sz w:val="22"/>
                <w:szCs w:val="22"/>
              </w:rPr>
              <w:drawing>
                <wp:inline distT="0" distB="0" distL="0" distR="0" wp14:anchorId="1F44C746" wp14:editId="6376D4DD">
                  <wp:extent cx="692785" cy="116205"/>
                  <wp:effectExtent l="0" t="0" r="0" b="0"/>
                  <wp:docPr id="19" name="Picture 19" descr="x^{2}+6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x^{2}+6x+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2785" cy="116205"/>
                          </a:xfrm>
                          <a:prstGeom prst="rect">
                            <a:avLst/>
                          </a:prstGeom>
                          <a:noFill/>
                          <a:ln>
                            <a:noFill/>
                          </a:ln>
                        </pic:spPr>
                      </pic:pic>
                    </a:graphicData>
                  </a:graphic>
                </wp:inline>
              </w:drawing>
            </w:r>
            <w:r w:rsidRPr="00BD6751">
              <w:rPr>
                <w:rFonts w:ascii="Arial" w:hAnsi="Arial" w:cs="Arial"/>
                <w:color w:val="333333"/>
                <w:sz w:val="22"/>
                <w:szCs w:val="22"/>
              </w:rPr>
              <w:t>.</w:t>
            </w:r>
          </w:p>
          <w:p w14:paraId="183E679F" w14:textId="4013B138"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So, writing that down algebraically: </w:t>
            </w:r>
            <w:r w:rsidRPr="00BD6751">
              <w:rPr>
                <w:rFonts w:ascii="Arial" w:hAnsi="Arial" w:cs="Arial"/>
                <w:noProof/>
                <w:color w:val="333333"/>
                <w:sz w:val="22"/>
                <w:szCs w:val="22"/>
              </w:rPr>
              <w:drawing>
                <wp:inline distT="0" distB="0" distL="0" distR="0" wp14:anchorId="2C9D9635" wp14:editId="3B121746">
                  <wp:extent cx="1601470" cy="139700"/>
                  <wp:effectExtent l="0" t="0" r="0" b="0"/>
                  <wp:docPr id="18" name="Picture 18" descr="x^{2}+6x+5=(x+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x^{2}+6x+5=(x+3)^{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01470" cy="139700"/>
                          </a:xfrm>
                          <a:prstGeom prst="rect">
                            <a:avLst/>
                          </a:prstGeom>
                          <a:noFill/>
                          <a:ln>
                            <a:noFill/>
                          </a:ln>
                        </pic:spPr>
                      </pic:pic>
                    </a:graphicData>
                  </a:graphic>
                </wp:inline>
              </w:drawing>
            </w:r>
            <w:r w:rsidRPr="00BD6751">
              <w:rPr>
                <w:rFonts w:ascii="Arial" w:hAnsi="Arial" w:cs="Arial"/>
                <w:color w:val="333333"/>
                <w:sz w:val="22"/>
                <w:szCs w:val="22"/>
              </w:rPr>
              <w:t>.</w:t>
            </w:r>
          </w:p>
          <w:p w14:paraId="2D19EAE5" w14:textId="5F0905F8" w:rsid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Let’s just remind ourselves how we might have got to this stage algebraically.</w:t>
            </w:r>
          </w:p>
          <w:tbl>
            <w:tblPr>
              <w:tblW w:w="7544" w:type="dxa"/>
              <w:tblCellSpacing w:w="5" w:type="dxa"/>
              <w:tblLayout w:type="fixed"/>
              <w:tblCellMar>
                <w:top w:w="10" w:type="dxa"/>
                <w:left w:w="10" w:type="dxa"/>
                <w:bottom w:w="10" w:type="dxa"/>
                <w:right w:w="10" w:type="dxa"/>
              </w:tblCellMar>
              <w:tblLook w:val="04A0" w:firstRow="1" w:lastRow="0" w:firstColumn="1" w:lastColumn="0" w:noHBand="0" w:noVBand="1"/>
            </w:tblPr>
            <w:tblGrid>
              <w:gridCol w:w="3686"/>
              <w:gridCol w:w="142"/>
              <w:gridCol w:w="3716"/>
            </w:tblGrid>
            <w:tr w:rsidR="00BD6751" w:rsidRPr="00BD6751" w14:paraId="77872B55" w14:textId="77777777" w:rsidTr="00BD6751">
              <w:trPr>
                <w:tblCellSpacing w:w="5" w:type="dxa"/>
              </w:trPr>
              <w:tc>
                <w:tcPr>
                  <w:tcW w:w="3671" w:type="dxa"/>
                  <w:tcMar>
                    <w:top w:w="0" w:type="dxa"/>
                    <w:left w:w="0" w:type="dxa"/>
                    <w:bottom w:w="0" w:type="dxa"/>
                    <w:right w:w="0" w:type="dxa"/>
                  </w:tcMar>
                  <w:vAlign w:val="center"/>
                  <w:hideMark/>
                </w:tcPr>
                <w:p w14:paraId="56552C81"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We might have started with</w:t>
                  </w:r>
                </w:p>
              </w:tc>
              <w:tc>
                <w:tcPr>
                  <w:tcW w:w="132" w:type="dxa"/>
                  <w:tcMar>
                    <w:top w:w="0" w:type="dxa"/>
                    <w:left w:w="0" w:type="dxa"/>
                    <w:bottom w:w="0" w:type="dxa"/>
                    <w:right w:w="0" w:type="dxa"/>
                  </w:tcMar>
                  <w:vAlign w:val="center"/>
                  <w:hideMark/>
                </w:tcPr>
                <w:p w14:paraId="1C993E7C"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 </w:t>
                  </w:r>
                </w:p>
              </w:tc>
              <w:tc>
                <w:tcPr>
                  <w:tcW w:w="3701" w:type="dxa"/>
                  <w:tcMar>
                    <w:top w:w="0" w:type="dxa"/>
                    <w:left w:w="0" w:type="dxa"/>
                    <w:bottom w:w="0" w:type="dxa"/>
                    <w:right w:w="0" w:type="dxa"/>
                  </w:tcMar>
                  <w:vAlign w:val="center"/>
                  <w:hideMark/>
                </w:tcPr>
                <w:p w14:paraId="3DFEEAEC" w14:textId="609267D4" w:rsidR="00BD6751" w:rsidRPr="00BD6751" w:rsidRDefault="00BD6751" w:rsidP="0069034A">
                  <w:pPr>
                    <w:spacing w:before="120" w:after="120" w:line="240" w:lineRule="auto"/>
                    <w:ind w:right="958"/>
                    <w:rPr>
                      <w:rFonts w:ascii="Arial" w:hAnsi="Arial" w:cs="Arial"/>
                    </w:rPr>
                  </w:pPr>
                  <w:r w:rsidRPr="00BD6751">
                    <w:rPr>
                      <w:rFonts w:ascii="Arial" w:hAnsi="Arial" w:cs="Arial"/>
                      <w:noProof/>
                    </w:rPr>
                    <w:drawing>
                      <wp:inline distT="0" distB="0" distL="0" distR="0" wp14:anchorId="34983790" wp14:editId="7C5B95E5">
                        <wp:extent cx="692785" cy="116205"/>
                        <wp:effectExtent l="0" t="0" r="0" b="0"/>
                        <wp:docPr id="17" name="Picture 17" descr="x^{2}+6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x^{2}+6x+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2785" cy="116205"/>
                                </a:xfrm>
                                <a:prstGeom prst="rect">
                                  <a:avLst/>
                                </a:prstGeom>
                                <a:noFill/>
                                <a:ln>
                                  <a:noFill/>
                                </a:ln>
                              </pic:spPr>
                            </pic:pic>
                          </a:graphicData>
                        </a:graphic>
                      </wp:inline>
                    </w:drawing>
                  </w:r>
                </w:p>
              </w:tc>
            </w:tr>
            <w:tr w:rsidR="00BD6751" w:rsidRPr="00BD6751" w14:paraId="76649CBF" w14:textId="77777777" w:rsidTr="00BD6751">
              <w:trPr>
                <w:tblCellSpacing w:w="5" w:type="dxa"/>
              </w:trPr>
              <w:tc>
                <w:tcPr>
                  <w:tcW w:w="3671" w:type="dxa"/>
                  <w:tcMar>
                    <w:top w:w="0" w:type="dxa"/>
                    <w:left w:w="0" w:type="dxa"/>
                    <w:bottom w:w="0" w:type="dxa"/>
                    <w:right w:w="0" w:type="dxa"/>
                  </w:tcMar>
                  <w:vAlign w:val="center"/>
                  <w:hideMark/>
                </w:tcPr>
                <w:p w14:paraId="179666A6"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But we know that</w:t>
                  </w:r>
                </w:p>
              </w:tc>
              <w:tc>
                <w:tcPr>
                  <w:tcW w:w="132" w:type="dxa"/>
                  <w:tcMar>
                    <w:top w:w="0" w:type="dxa"/>
                    <w:left w:w="0" w:type="dxa"/>
                    <w:bottom w:w="0" w:type="dxa"/>
                    <w:right w:w="0" w:type="dxa"/>
                  </w:tcMar>
                  <w:vAlign w:val="center"/>
                  <w:hideMark/>
                </w:tcPr>
                <w:p w14:paraId="7FECB110"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 </w:t>
                  </w:r>
                </w:p>
              </w:tc>
              <w:tc>
                <w:tcPr>
                  <w:tcW w:w="3701" w:type="dxa"/>
                  <w:tcMar>
                    <w:top w:w="0" w:type="dxa"/>
                    <w:left w:w="0" w:type="dxa"/>
                    <w:bottom w:w="0" w:type="dxa"/>
                    <w:right w:w="0" w:type="dxa"/>
                  </w:tcMar>
                  <w:vAlign w:val="center"/>
                  <w:hideMark/>
                </w:tcPr>
                <w:p w14:paraId="3651ACF2" w14:textId="1BACEBDB" w:rsidR="00BD6751" w:rsidRPr="00BD6751" w:rsidRDefault="00BD6751" w:rsidP="0069034A">
                  <w:pPr>
                    <w:spacing w:before="120" w:after="120" w:line="240" w:lineRule="auto"/>
                    <w:ind w:right="958"/>
                    <w:rPr>
                      <w:rFonts w:ascii="Arial" w:hAnsi="Arial" w:cs="Arial"/>
                    </w:rPr>
                  </w:pPr>
                  <w:r w:rsidRPr="00BD6751">
                    <w:rPr>
                      <w:rFonts w:ascii="Arial" w:hAnsi="Arial" w:cs="Arial"/>
                    </w:rPr>
                    <w:t>       </w:t>
                  </w:r>
                  <w:r w:rsidRPr="00BD6751">
                    <w:rPr>
                      <w:rFonts w:ascii="Arial" w:hAnsi="Arial" w:cs="Arial"/>
                      <w:noProof/>
                    </w:rPr>
                    <w:drawing>
                      <wp:inline distT="0" distB="0" distL="0" distR="0" wp14:anchorId="4E984DA7" wp14:editId="74347657">
                        <wp:extent cx="1351280" cy="139700"/>
                        <wp:effectExtent l="0" t="0" r="1270" b="0"/>
                        <wp:docPr id="16" name="Picture 16" descr="{\color{Red} (x+3)^{2}=x^{2}+6x+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Red} (x+3)^{2}=x^{2}+6x+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51280" cy="139700"/>
                                </a:xfrm>
                                <a:prstGeom prst="rect">
                                  <a:avLst/>
                                </a:prstGeom>
                                <a:noFill/>
                                <a:ln>
                                  <a:noFill/>
                                </a:ln>
                              </pic:spPr>
                            </pic:pic>
                          </a:graphicData>
                        </a:graphic>
                      </wp:inline>
                    </w:drawing>
                  </w:r>
                </w:p>
              </w:tc>
            </w:tr>
            <w:tr w:rsidR="00BD6751" w:rsidRPr="00BD6751" w14:paraId="58A0F6CE" w14:textId="77777777" w:rsidTr="00BD6751">
              <w:trPr>
                <w:tblCellSpacing w:w="5" w:type="dxa"/>
              </w:trPr>
              <w:tc>
                <w:tcPr>
                  <w:tcW w:w="3671" w:type="dxa"/>
                  <w:tcMar>
                    <w:top w:w="0" w:type="dxa"/>
                    <w:left w:w="0" w:type="dxa"/>
                    <w:bottom w:w="0" w:type="dxa"/>
                    <w:right w:w="0" w:type="dxa"/>
                  </w:tcMar>
                  <w:vAlign w:val="center"/>
                  <w:hideMark/>
                </w:tcPr>
                <w:p w14:paraId="0CDE4D9E"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So</w:t>
                  </w:r>
                </w:p>
              </w:tc>
              <w:tc>
                <w:tcPr>
                  <w:tcW w:w="132" w:type="dxa"/>
                  <w:tcMar>
                    <w:top w:w="0" w:type="dxa"/>
                    <w:left w:w="0" w:type="dxa"/>
                    <w:bottom w:w="0" w:type="dxa"/>
                    <w:right w:w="0" w:type="dxa"/>
                  </w:tcMar>
                  <w:vAlign w:val="center"/>
                  <w:hideMark/>
                </w:tcPr>
                <w:p w14:paraId="47544E2F"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 </w:t>
                  </w:r>
                </w:p>
              </w:tc>
              <w:tc>
                <w:tcPr>
                  <w:tcW w:w="3701" w:type="dxa"/>
                  <w:tcMar>
                    <w:top w:w="0" w:type="dxa"/>
                    <w:left w:w="0" w:type="dxa"/>
                    <w:bottom w:w="0" w:type="dxa"/>
                    <w:right w:w="0" w:type="dxa"/>
                  </w:tcMar>
                  <w:vAlign w:val="center"/>
                  <w:hideMark/>
                </w:tcPr>
                <w:p w14:paraId="08484C3A" w14:textId="625AD7FB" w:rsidR="00BD6751" w:rsidRPr="00BD6751" w:rsidRDefault="00BD6751" w:rsidP="0069034A">
                  <w:pPr>
                    <w:spacing w:before="120" w:after="120" w:line="240" w:lineRule="auto"/>
                    <w:ind w:right="958"/>
                    <w:rPr>
                      <w:rFonts w:ascii="Arial" w:hAnsi="Arial" w:cs="Arial"/>
                    </w:rPr>
                  </w:pPr>
                  <w:r w:rsidRPr="00BD6751">
                    <w:rPr>
                      <w:rFonts w:ascii="Arial" w:hAnsi="Arial" w:cs="Arial"/>
                      <w:noProof/>
                    </w:rPr>
                    <w:drawing>
                      <wp:inline distT="0" distB="0" distL="0" distR="0" wp14:anchorId="43E7DE4D" wp14:editId="57F80EC1">
                        <wp:extent cx="1741170" cy="116205"/>
                        <wp:effectExtent l="0" t="0" r="0" b="0"/>
                        <wp:docPr id="15" name="Picture 15" descr="x^{2}+6x+5={\color{Red} x^{2}+6x+9}{\color{Blu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x^{2}+6x+5={\color{Red} x^{2}+6x+9}{\color{Blu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41170" cy="116205"/>
                                </a:xfrm>
                                <a:prstGeom prst="rect">
                                  <a:avLst/>
                                </a:prstGeom>
                                <a:noFill/>
                                <a:ln>
                                  <a:noFill/>
                                </a:ln>
                              </pic:spPr>
                            </pic:pic>
                          </a:graphicData>
                        </a:graphic>
                      </wp:inline>
                    </w:drawing>
                  </w:r>
                </w:p>
              </w:tc>
            </w:tr>
            <w:tr w:rsidR="00BD6751" w:rsidRPr="00BD6751" w14:paraId="5CD0B72C" w14:textId="77777777" w:rsidTr="00BD6751">
              <w:trPr>
                <w:tblCellSpacing w:w="5" w:type="dxa"/>
              </w:trPr>
              <w:tc>
                <w:tcPr>
                  <w:tcW w:w="3671" w:type="dxa"/>
                  <w:tcMar>
                    <w:top w:w="0" w:type="dxa"/>
                    <w:left w:w="0" w:type="dxa"/>
                    <w:bottom w:w="0" w:type="dxa"/>
                    <w:right w:w="0" w:type="dxa"/>
                  </w:tcMar>
                  <w:vAlign w:val="center"/>
                  <w:hideMark/>
                </w:tcPr>
                <w:p w14:paraId="32291D58"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And therefore</w:t>
                  </w:r>
                </w:p>
              </w:tc>
              <w:tc>
                <w:tcPr>
                  <w:tcW w:w="132" w:type="dxa"/>
                  <w:tcMar>
                    <w:top w:w="0" w:type="dxa"/>
                    <w:left w:w="0" w:type="dxa"/>
                    <w:bottom w:w="0" w:type="dxa"/>
                    <w:right w:w="0" w:type="dxa"/>
                  </w:tcMar>
                  <w:vAlign w:val="center"/>
                  <w:hideMark/>
                </w:tcPr>
                <w:p w14:paraId="6E579102" w14:textId="77777777" w:rsidR="00BD6751" w:rsidRPr="00BD6751" w:rsidRDefault="00BD6751" w:rsidP="0069034A">
                  <w:pPr>
                    <w:spacing w:before="120" w:after="120" w:line="240" w:lineRule="auto"/>
                    <w:ind w:right="958"/>
                    <w:rPr>
                      <w:rFonts w:ascii="Arial" w:hAnsi="Arial" w:cs="Arial"/>
                    </w:rPr>
                  </w:pPr>
                  <w:r w:rsidRPr="00BD6751">
                    <w:rPr>
                      <w:rFonts w:ascii="Arial" w:hAnsi="Arial" w:cs="Arial"/>
                    </w:rPr>
                    <w:t> </w:t>
                  </w:r>
                </w:p>
              </w:tc>
              <w:tc>
                <w:tcPr>
                  <w:tcW w:w="3701" w:type="dxa"/>
                  <w:tcMar>
                    <w:top w:w="0" w:type="dxa"/>
                    <w:left w:w="0" w:type="dxa"/>
                    <w:bottom w:w="0" w:type="dxa"/>
                    <w:right w:w="0" w:type="dxa"/>
                  </w:tcMar>
                  <w:vAlign w:val="center"/>
                  <w:hideMark/>
                </w:tcPr>
                <w:p w14:paraId="3062E3FA" w14:textId="36890B9D" w:rsidR="00BD6751" w:rsidRPr="00BD6751" w:rsidRDefault="00BD6751" w:rsidP="0069034A">
                  <w:pPr>
                    <w:spacing w:before="120" w:after="120" w:line="240" w:lineRule="auto"/>
                    <w:ind w:right="958"/>
                    <w:rPr>
                      <w:rFonts w:ascii="Arial" w:hAnsi="Arial" w:cs="Arial"/>
                    </w:rPr>
                  </w:pPr>
                  <w:r w:rsidRPr="00BD6751">
                    <w:rPr>
                      <w:rFonts w:ascii="Arial" w:hAnsi="Arial" w:cs="Arial"/>
                      <w:noProof/>
                    </w:rPr>
                    <w:drawing>
                      <wp:inline distT="0" distB="0" distL="0" distR="0" wp14:anchorId="3148199F" wp14:editId="230CA0FF">
                        <wp:extent cx="1543685" cy="139700"/>
                        <wp:effectExtent l="0" t="0" r="0" b="0"/>
                        <wp:docPr id="14" name="Picture 14" descr="x^{2}+6x+5={\color{Red} (x+3)^{2}}{\color{Blu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x^{2}+6x+5={\color{Red} (x+3)^{2}}{\color{Blu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43685" cy="139700"/>
                                </a:xfrm>
                                <a:prstGeom prst="rect">
                                  <a:avLst/>
                                </a:prstGeom>
                                <a:noFill/>
                                <a:ln>
                                  <a:noFill/>
                                </a:ln>
                              </pic:spPr>
                            </pic:pic>
                          </a:graphicData>
                        </a:graphic>
                      </wp:inline>
                    </w:drawing>
                  </w:r>
                </w:p>
              </w:tc>
            </w:tr>
          </w:tbl>
          <w:p w14:paraId="4E100C84"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Many experienced secondary teachers, who have taught completing the square many times, on seeing this diagrammatic representation say ‘Aaaaah! </w:t>
            </w:r>
            <w:r w:rsidRPr="00BD6751">
              <w:rPr>
                <w:rStyle w:val="Emphasis"/>
                <w:rFonts w:ascii="Arial" w:hAnsi="Arial" w:cs="Arial"/>
                <w:color w:val="333333"/>
                <w:sz w:val="22"/>
                <w:szCs w:val="22"/>
              </w:rPr>
              <w:t>That’s</w:t>
            </w:r>
            <w:r w:rsidRPr="00BD6751">
              <w:rPr>
                <w:rFonts w:ascii="Arial" w:hAnsi="Arial" w:cs="Arial"/>
                <w:color w:val="333333"/>
                <w:sz w:val="22"/>
                <w:szCs w:val="22"/>
              </w:rPr>
              <w:t> why it’s called completing the square! I never realised!’</w:t>
            </w:r>
          </w:p>
          <w:p w14:paraId="58BD159E"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But for a student new to grappling with this notoriously tricky concept, is there a danger of further confusion if new equipment (in the form of these algebra tiles) is suddenly introduced simultaneously? </w:t>
            </w:r>
            <w:r w:rsidRPr="00BD6751">
              <w:rPr>
                <w:rStyle w:val="Emphasis"/>
                <w:rFonts w:ascii="Arial" w:hAnsi="Arial" w:cs="Arial"/>
                <w:color w:val="333333"/>
                <w:sz w:val="22"/>
                <w:szCs w:val="22"/>
              </w:rPr>
              <w:t>Are we doing algebra, Miss, or are we doing area?</w:t>
            </w:r>
          </w:p>
          <w:p w14:paraId="68F33D4A"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But what if the tiles were very familiar, because the students had used them regularly to help with algebraic manipulation throughout KS3 and KS4? This is where our </w:t>
            </w:r>
            <w:hyperlink r:id="rId26" w:history="1">
              <w:r w:rsidRPr="00BD6751">
                <w:rPr>
                  <w:rStyle w:val="Hyperlink"/>
                  <w:rFonts w:ascii="Arial" w:hAnsi="Arial" w:cs="Arial"/>
                  <w:b/>
                  <w:bCs/>
                  <w:color w:val="996699"/>
                  <w:sz w:val="22"/>
                  <w:szCs w:val="22"/>
                </w:rPr>
                <w:t>Secondary Mastery Professional Development Materials</w:t>
              </w:r>
            </w:hyperlink>
            <w:r w:rsidRPr="00BD6751">
              <w:rPr>
                <w:rFonts w:ascii="Arial" w:hAnsi="Arial" w:cs="Arial"/>
                <w:color w:val="333333"/>
                <w:sz w:val="22"/>
                <w:szCs w:val="22"/>
              </w:rPr>
              <w:t> can come in useful. In the rest of this article we’ll look at how these materials can help teachers design lessons using diagrammatic representations or hands-on equipment. And we’ll hear from two teachers, Erin and Steve, who’ve found the </w:t>
            </w:r>
            <w:hyperlink r:id="rId27" w:tgtFrame="_blank" w:history="1">
              <w:r w:rsidRPr="00BD6751">
                <w:rPr>
                  <w:rStyle w:val="Hyperlink"/>
                  <w:rFonts w:ascii="Arial" w:hAnsi="Arial" w:cs="Arial"/>
                  <w:b/>
                  <w:bCs/>
                  <w:color w:val="996699"/>
                  <w:sz w:val="22"/>
                  <w:szCs w:val="22"/>
                </w:rPr>
                <w:t>Algebra Tiles Guidance Document</w:t>
              </w:r>
            </w:hyperlink>
            <w:r w:rsidRPr="00BD6751">
              <w:rPr>
                <w:rFonts w:ascii="Arial" w:hAnsi="Arial" w:cs="Arial"/>
                <w:color w:val="333333"/>
                <w:sz w:val="22"/>
                <w:szCs w:val="22"/>
              </w:rPr>
              <w:t> particularly useful.</w:t>
            </w:r>
          </w:p>
          <w:p w14:paraId="5683397E" w14:textId="44A1A3E0" w:rsid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Returning to our quadratic…</w:t>
            </w:r>
          </w:p>
          <w:p w14:paraId="0818915C" w14:textId="318D26C0" w:rsidR="00C04BB6" w:rsidRDefault="00C04BB6" w:rsidP="0069034A">
            <w:pPr>
              <w:pStyle w:val="NormalWeb"/>
              <w:spacing w:before="120" w:beforeAutospacing="0" w:after="120" w:afterAutospacing="0"/>
              <w:ind w:right="1344"/>
              <w:rPr>
                <w:rFonts w:ascii="Arial" w:hAnsi="Arial" w:cs="Arial"/>
                <w:color w:val="333333"/>
                <w:sz w:val="22"/>
                <w:szCs w:val="22"/>
              </w:rPr>
            </w:pPr>
          </w:p>
          <w:p w14:paraId="0F1473A9" w14:textId="1EA5E10E" w:rsidR="00C04BB6" w:rsidRDefault="00C04BB6" w:rsidP="0069034A">
            <w:pPr>
              <w:pStyle w:val="NormalWeb"/>
              <w:spacing w:before="120" w:beforeAutospacing="0" w:after="120" w:afterAutospacing="0"/>
              <w:ind w:right="1344"/>
              <w:rPr>
                <w:rFonts w:ascii="Arial" w:hAnsi="Arial" w:cs="Arial"/>
                <w:color w:val="333333"/>
                <w:sz w:val="22"/>
                <w:szCs w:val="22"/>
              </w:rPr>
            </w:pPr>
          </w:p>
          <w:p w14:paraId="5CB79493" w14:textId="09CBB7FA" w:rsidR="00C04BB6" w:rsidRDefault="00C04BB6" w:rsidP="0069034A">
            <w:pPr>
              <w:pStyle w:val="NormalWeb"/>
              <w:spacing w:before="120" w:beforeAutospacing="0" w:after="120" w:afterAutospacing="0"/>
              <w:ind w:right="1344"/>
              <w:rPr>
                <w:rFonts w:ascii="Arial" w:hAnsi="Arial" w:cs="Arial"/>
                <w:color w:val="333333"/>
                <w:sz w:val="22"/>
                <w:szCs w:val="22"/>
              </w:rPr>
            </w:pPr>
          </w:p>
          <w:p w14:paraId="675DACDD" w14:textId="0FBD7939" w:rsidR="00C04BB6" w:rsidRDefault="00C04BB6" w:rsidP="0069034A">
            <w:pPr>
              <w:pStyle w:val="NormalWeb"/>
              <w:spacing w:before="120" w:beforeAutospacing="0" w:after="120" w:afterAutospacing="0"/>
              <w:ind w:right="1344"/>
              <w:rPr>
                <w:rFonts w:ascii="Arial" w:hAnsi="Arial" w:cs="Arial"/>
                <w:color w:val="333333"/>
                <w:sz w:val="22"/>
                <w:szCs w:val="22"/>
              </w:rPr>
            </w:pPr>
          </w:p>
          <w:p w14:paraId="72E03880" w14:textId="1EE47A91" w:rsidR="00C04BB6" w:rsidRDefault="00C04BB6" w:rsidP="0069034A">
            <w:pPr>
              <w:pStyle w:val="NormalWeb"/>
              <w:spacing w:before="120" w:beforeAutospacing="0" w:after="120" w:afterAutospacing="0"/>
              <w:ind w:right="1344"/>
              <w:rPr>
                <w:rFonts w:ascii="Arial" w:hAnsi="Arial" w:cs="Arial"/>
                <w:color w:val="333333"/>
                <w:sz w:val="22"/>
                <w:szCs w:val="22"/>
              </w:rPr>
            </w:pPr>
          </w:p>
          <w:p w14:paraId="0341690C" w14:textId="4C55E81E"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lastRenderedPageBreak/>
              <w:t>How about if our students were already familiar with using these tiles to represent the expression: </w:t>
            </w:r>
            <w:r w:rsidRPr="00BD6751">
              <w:rPr>
                <w:rFonts w:ascii="Arial" w:hAnsi="Arial" w:cs="Arial"/>
                <w:noProof/>
                <w:color w:val="333333"/>
                <w:sz w:val="22"/>
                <w:szCs w:val="22"/>
              </w:rPr>
              <w:drawing>
                <wp:inline distT="0" distB="0" distL="0" distR="0" wp14:anchorId="360BC6F3" wp14:editId="202C6F4E">
                  <wp:extent cx="692785" cy="116205"/>
                  <wp:effectExtent l="0" t="0" r="0" b="0"/>
                  <wp:docPr id="13" name="Picture 13" descr="x^{2}+6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x^{2}+6x+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92785" cy="116205"/>
                          </a:xfrm>
                          <a:prstGeom prst="rect">
                            <a:avLst/>
                          </a:prstGeom>
                          <a:noFill/>
                          <a:ln>
                            <a:noFill/>
                          </a:ln>
                        </pic:spPr>
                      </pic:pic>
                    </a:graphicData>
                  </a:graphic>
                </wp:inline>
              </w:drawing>
            </w:r>
          </w:p>
          <w:p w14:paraId="752E2B38" w14:textId="16B695E0" w:rsidR="00BD6751" w:rsidRPr="00BD6751" w:rsidRDefault="008D1FEA" w:rsidP="0069034A">
            <w:pPr>
              <w:pStyle w:val="NormalWeb"/>
              <w:spacing w:before="120" w:beforeAutospacing="0" w:after="120" w:afterAutospacing="0"/>
              <w:ind w:left="600" w:right="1344"/>
              <w:rPr>
                <w:rFonts w:ascii="Arial" w:hAnsi="Arial" w:cs="Arial"/>
                <w:noProof/>
                <w:color w:val="333333"/>
                <w:sz w:val="22"/>
                <w:szCs w:val="22"/>
              </w:rPr>
            </w:pPr>
            <w:r w:rsidRPr="00BD6751">
              <w:rPr>
                <w:rFonts w:ascii="Arial" w:hAnsi="Arial" w:cs="Arial"/>
                <w:noProof/>
                <w:color w:val="333333"/>
                <w:sz w:val="22"/>
                <w:szCs w:val="22"/>
              </w:rPr>
              <w:drawing>
                <wp:anchor distT="0" distB="0" distL="114300" distR="114300" simplePos="0" relativeHeight="251658240" behindDoc="0" locked="0" layoutInCell="1" allowOverlap="1" wp14:anchorId="7CDC181D" wp14:editId="141004F5">
                  <wp:simplePos x="0" y="0"/>
                  <wp:positionH relativeFrom="column">
                    <wp:posOffset>694690</wp:posOffset>
                  </wp:positionH>
                  <wp:positionV relativeFrom="paragraph">
                    <wp:posOffset>32385</wp:posOffset>
                  </wp:positionV>
                  <wp:extent cx="3331210" cy="2370455"/>
                  <wp:effectExtent l="0" t="0" r="254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1210" cy="2370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D87068" w14:textId="5D695C02" w:rsidR="00BD6751" w:rsidRP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5C0AFF3A" w14:textId="3F4647E4" w:rsidR="00BD6751" w:rsidRP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4897E160" w14:textId="5D626842" w:rsid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23468D03" w14:textId="649C682E" w:rsid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5F55A079" w14:textId="72FA3425" w:rsid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03AF68C1" w14:textId="7B526A95" w:rsid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23CFD85B" w14:textId="77777777" w:rsidR="00BD6751" w:rsidRPr="00BD6751" w:rsidRDefault="00BD6751" w:rsidP="0069034A">
            <w:pPr>
              <w:pStyle w:val="NormalWeb"/>
              <w:spacing w:before="120" w:beforeAutospacing="0" w:after="120" w:afterAutospacing="0"/>
              <w:ind w:left="600" w:right="1344"/>
              <w:rPr>
                <w:rFonts w:ascii="Arial" w:hAnsi="Arial" w:cs="Arial"/>
                <w:noProof/>
                <w:color w:val="333333"/>
                <w:sz w:val="22"/>
                <w:szCs w:val="22"/>
              </w:rPr>
            </w:pPr>
          </w:p>
          <w:p w14:paraId="4E1CD1F6" w14:textId="4FAE31B5"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661903FC" w14:textId="11F2977F"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7F67B5C4" w14:textId="7D9A9D4D"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48B51A30" w14:textId="37EA8804" w:rsid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And had previously used them to represent expanding and then factorising quadratics (by creating rectangles):</w:t>
            </w:r>
          </w:p>
          <w:p w14:paraId="421B5A2C" w14:textId="3B70C6C4" w:rsidR="00C04BB6" w:rsidRDefault="00C04BB6"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noProof/>
                <w:color w:val="333333"/>
                <w:sz w:val="22"/>
                <w:szCs w:val="22"/>
              </w:rPr>
              <w:drawing>
                <wp:anchor distT="0" distB="0" distL="114300" distR="114300" simplePos="0" relativeHeight="251661312" behindDoc="0" locked="0" layoutInCell="1" allowOverlap="1" wp14:anchorId="22960773" wp14:editId="481BBC9C">
                  <wp:simplePos x="0" y="0"/>
                  <wp:positionH relativeFrom="column">
                    <wp:posOffset>779780</wp:posOffset>
                  </wp:positionH>
                  <wp:positionV relativeFrom="paragraph">
                    <wp:posOffset>90170</wp:posOffset>
                  </wp:positionV>
                  <wp:extent cx="3331210" cy="2370455"/>
                  <wp:effectExtent l="0" t="0" r="254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31210" cy="2370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6A18C9" w14:textId="550E173B" w:rsidR="00C04BB6" w:rsidRDefault="00C04BB6" w:rsidP="0069034A">
            <w:pPr>
              <w:pStyle w:val="NormalWeb"/>
              <w:spacing w:before="120" w:beforeAutospacing="0" w:after="120" w:afterAutospacing="0"/>
              <w:ind w:right="1344"/>
              <w:rPr>
                <w:rFonts w:ascii="Arial" w:hAnsi="Arial" w:cs="Arial"/>
                <w:color w:val="333333"/>
                <w:sz w:val="22"/>
                <w:szCs w:val="22"/>
              </w:rPr>
            </w:pPr>
          </w:p>
          <w:p w14:paraId="3FB07B59" w14:textId="119A91BF" w:rsidR="00C04BB6" w:rsidRDefault="00C04BB6" w:rsidP="0069034A">
            <w:pPr>
              <w:pStyle w:val="NormalWeb"/>
              <w:spacing w:before="120" w:beforeAutospacing="0" w:after="120" w:afterAutospacing="0"/>
              <w:ind w:right="1344"/>
              <w:rPr>
                <w:rFonts w:ascii="Arial" w:hAnsi="Arial" w:cs="Arial"/>
                <w:color w:val="333333"/>
                <w:sz w:val="22"/>
                <w:szCs w:val="22"/>
              </w:rPr>
            </w:pPr>
          </w:p>
          <w:p w14:paraId="683BCAF9" w14:textId="263AAF75" w:rsidR="00C04BB6" w:rsidRDefault="00C04BB6" w:rsidP="0069034A">
            <w:pPr>
              <w:pStyle w:val="NormalWeb"/>
              <w:spacing w:before="120" w:beforeAutospacing="0" w:after="120" w:afterAutospacing="0"/>
              <w:ind w:right="1344"/>
              <w:rPr>
                <w:rFonts w:ascii="Arial" w:hAnsi="Arial" w:cs="Arial"/>
                <w:color w:val="333333"/>
                <w:sz w:val="22"/>
                <w:szCs w:val="22"/>
              </w:rPr>
            </w:pPr>
          </w:p>
          <w:p w14:paraId="230AE9F8" w14:textId="2E5017E8" w:rsidR="00C04BB6" w:rsidRDefault="00C04BB6" w:rsidP="0069034A">
            <w:pPr>
              <w:pStyle w:val="NormalWeb"/>
              <w:spacing w:before="120" w:beforeAutospacing="0" w:after="120" w:afterAutospacing="0"/>
              <w:ind w:right="1344"/>
              <w:rPr>
                <w:rFonts w:ascii="Arial" w:hAnsi="Arial" w:cs="Arial"/>
                <w:color w:val="333333"/>
                <w:sz w:val="22"/>
                <w:szCs w:val="22"/>
              </w:rPr>
            </w:pPr>
          </w:p>
          <w:p w14:paraId="4D8C96BA" w14:textId="639F1F11" w:rsidR="00C04BB6" w:rsidRDefault="00C04BB6" w:rsidP="0069034A">
            <w:pPr>
              <w:pStyle w:val="NormalWeb"/>
              <w:spacing w:before="120" w:beforeAutospacing="0" w:after="120" w:afterAutospacing="0"/>
              <w:ind w:right="1344"/>
              <w:rPr>
                <w:rFonts w:ascii="Arial" w:hAnsi="Arial" w:cs="Arial"/>
                <w:color w:val="333333"/>
                <w:sz w:val="22"/>
                <w:szCs w:val="22"/>
              </w:rPr>
            </w:pPr>
          </w:p>
          <w:p w14:paraId="1AEB1AED" w14:textId="4A8AF056" w:rsidR="00C04BB6" w:rsidRDefault="00C04BB6" w:rsidP="0069034A">
            <w:pPr>
              <w:pStyle w:val="NormalWeb"/>
              <w:spacing w:before="120" w:beforeAutospacing="0" w:after="120" w:afterAutospacing="0"/>
              <w:ind w:right="1344"/>
              <w:rPr>
                <w:rFonts w:ascii="Arial" w:hAnsi="Arial" w:cs="Arial"/>
                <w:color w:val="333333"/>
                <w:sz w:val="22"/>
                <w:szCs w:val="22"/>
              </w:rPr>
            </w:pPr>
          </w:p>
          <w:p w14:paraId="3EC27C44" w14:textId="30E46E57" w:rsidR="00C04BB6" w:rsidRDefault="00C04BB6" w:rsidP="0069034A">
            <w:pPr>
              <w:pStyle w:val="NormalWeb"/>
              <w:spacing w:before="120" w:beforeAutospacing="0" w:after="120" w:afterAutospacing="0"/>
              <w:ind w:right="1344"/>
              <w:rPr>
                <w:rFonts w:ascii="Arial" w:hAnsi="Arial" w:cs="Arial"/>
                <w:color w:val="333333"/>
                <w:sz w:val="22"/>
                <w:szCs w:val="22"/>
              </w:rPr>
            </w:pPr>
          </w:p>
          <w:p w14:paraId="3B44C650" w14:textId="5878ABE0" w:rsidR="00C04BB6" w:rsidRDefault="00C04BB6" w:rsidP="0069034A">
            <w:pPr>
              <w:pStyle w:val="NormalWeb"/>
              <w:spacing w:before="120" w:beforeAutospacing="0" w:after="120" w:afterAutospacing="0"/>
              <w:ind w:right="1344"/>
              <w:rPr>
                <w:rFonts w:ascii="Arial" w:hAnsi="Arial" w:cs="Arial"/>
                <w:color w:val="333333"/>
                <w:sz w:val="22"/>
                <w:szCs w:val="22"/>
              </w:rPr>
            </w:pPr>
          </w:p>
          <w:p w14:paraId="28668EC9" w14:textId="31B0391E" w:rsidR="00C04BB6" w:rsidRPr="00BD6751" w:rsidRDefault="00C04BB6" w:rsidP="0069034A">
            <w:pPr>
              <w:pStyle w:val="NormalWeb"/>
              <w:spacing w:before="120" w:beforeAutospacing="0" w:after="120" w:afterAutospacing="0"/>
              <w:ind w:right="1344"/>
              <w:rPr>
                <w:rFonts w:ascii="Arial" w:hAnsi="Arial" w:cs="Arial"/>
                <w:color w:val="333333"/>
                <w:sz w:val="22"/>
                <w:szCs w:val="22"/>
              </w:rPr>
            </w:pPr>
          </w:p>
          <w:p w14:paraId="66BA8943" w14:textId="57516CD9"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1D30C9C6" w14:textId="6342BE44"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noProof/>
                <w:color w:val="333333"/>
                <w:sz w:val="22"/>
                <w:szCs w:val="22"/>
              </w:rPr>
              <w:drawing>
                <wp:inline distT="0" distB="0" distL="0" distR="0" wp14:anchorId="70A88471" wp14:editId="26DF656D">
                  <wp:extent cx="1735455" cy="139700"/>
                  <wp:effectExtent l="0" t="0" r="0" b="0"/>
                  <wp:docPr id="10" name="Picture 10" descr="x^{2}+6x+5=(x+5)(x+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x^{2}+6x+5=(x+5)(x+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35455" cy="139700"/>
                          </a:xfrm>
                          <a:prstGeom prst="rect">
                            <a:avLst/>
                          </a:prstGeom>
                          <a:noFill/>
                          <a:ln>
                            <a:noFill/>
                          </a:ln>
                        </pic:spPr>
                      </pic:pic>
                    </a:graphicData>
                  </a:graphic>
                </wp:inline>
              </w:drawing>
            </w:r>
          </w:p>
          <w:p w14:paraId="73B98320"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And how about if area models were already very familiar for representing multiplication?</w:t>
            </w:r>
          </w:p>
          <w:p w14:paraId="2EE8466E" w14:textId="6B1F9678" w:rsid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Our Secondary Mastery Professional Development Materials suggest that area models follow naturally from supporting early understanding of multiplication with arrays:</w:t>
            </w:r>
          </w:p>
          <w:p w14:paraId="35DC65B7" w14:textId="6336FB83" w:rsidR="00C04BB6" w:rsidRDefault="00C04BB6" w:rsidP="0069034A">
            <w:pPr>
              <w:pStyle w:val="NormalWeb"/>
              <w:spacing w:before="120" w:beforeAutospacing="0" w:after="120" w:afterAutospacing="0"/>
              <w:ind w:right="1344"/>
              <w:rPr>
                <w:rFonts w:ascii="Arial" w:hAnsi="Arial" w:cs="Arial"/>
                <w:color w:val="333333"/>
                <w:sz w:val="22"/>
                <w:szCs w:val="22"/>
              </w:rPr>
            </w:pPr>
          </w:p>
          <w:p w14:paraId="4F5BCF38" w14:textId="10297023" w:rsidR="00C04BB6" w:rsidRDefault="00C04BB6" w:rsidP="0069034A">
            <w:pPr>
              <w:pStyle w:val="NormalWeb"/>
              <w:spacing w:before="120" w:beforeAutospacing="0" w:after="120" w:afterAutospacing="0"/>
              <w:ind w:right="1344"/>
              <w:rPr>
                <w:rFonts w:ascii="Arial" w:hAnsi="Arial" w:cs="Arial"/>
                <w:color w:val="333333"/>
                <w:sz w:val="22"/>
                <w:szCs w:val="22"/>
              </w:rPr>
            </w:pPr>
          </w:p>
          <w:p w14:paraId="20BFAB8F" w14:textId="7425534E" w:rsidR="00C04BB6" w:rsidRDefault="00C04BB6" w:rsidP="0069034A">
            <w:pPr>
              <w:pStyle w:val="NormalWeb"/>
              <w:spacing w:before="120" w:beforeAutospacing="0" w:after="120" w:afterAutospacing="0"/>
              <w:ind w:right="1344"/>
              <w:rPr>
                <w:rFonts w:ascii="Arial" w:hAnsi="Arial" w:cs="Arial"/>
                <w:color w:val="333333"/>
                <w:sz w:val="22"/>
                <w:szCs w:val="22"/>
              </w:rPr>
            </w:pPr>
          </w:p>
          <w:p w14:paraId="56F9C6AE" w14:textId="4747D80D" w:rsidR="00C04BB6" w:rsidRDefault="00C04BB6" w:rsidP="0069034A">
            <w:pPr>
              <w:pStyle w:val="NormalWeb"/>
              <w:spacing w:before="120" w:beforeAutospacing="0" w:after="120" w:afterAutospacing="0"/>
              <w:ind w:right="1344"/>
              <w:rPr>
                <w:rFonts w:ascii="Arial" w:hAnsi="Arial" w:cs="Arial"/>
                <w:color w:val="333333"/>
                <w:sz w:val="22"/>
                <w:szCs w:val="22"/>
              </w:rPr>
            </w:pPr>
          </w:p>
          <w:p w14:paraId="2A385892" w14:textId="4EAA9774" w:rsidR="00C04BB6" w:rsidRDefault="00C04BB6" w:rsidP="0069034A">
            <w:pPr>
              <w:pStyle w:val="NormalWeb"/>
              <w:spacing w:before="120" w:beforeAutospacing="0" w:after="120" w:afterAutospacing="0"/>
              <w:ind w:right="1344"/>
              <w:rPr>
                <w:rFonts w:ascii="Arial" w:hAnsi="Arial" w:cs="Arial"/>
                <w:color w:val="333333"/>
                <w:sz w:val="22"/>
                <w:szCs w:val="22"/>
              </w:rPr>
            </w:pPr>
          </w:p>
          <w:p w14:paraId="018122BF" w14:textId="521EB88D" w:rsidR="00C04BB6" w:rsidRDefault="00C04BB6" w:rsidP="0069034A">
            <w:pPr>
              <w:pStyle w:val="NormalWeb"/>
              <w:spacing w:before="120" w:beforeAutospacing="0" w:after="120" w:afterAutospacing="0"/>
              <w:ind w:right="1344"/>
              <w:rPr>
                <w:rFonts w:ascii="Arial" w:hAnsi="Arial" w:cs="Arial"/>
                <w:color w:val="333333"/>
                <w:sz w:val="22"/>
                <w:szCs w:val="22"/>
              </w:rPr>
            </w:pPr>
          </w:p>
          <w:p w14:paraId="7F9AD7C8" w14:textId="725501CC" w:rsidR="00C04BB6" w:rsidRDefault="00C04BB6" w:rsidP="0069034A">
            <w:pPr>
              <w:pStyle w:val="NormalWeb"/>
              <w:spacing w:before="120" w:beforeAutospacing="0" w:after="120" w:afterAutospacing="0"/>
              <w:ind w:right="1344"/>
              <w:rPr>
                <w:rFonts w:ascii="Arial" w:hAnsi="Arial" w:cs="Arial"/>
                <w:color w:val="333333"/>
                <w:sz w:val="22"/>
                <w:szCs w:val="22"/>
              </w:rPr>
            </w:pPr>
          </w:p>
          <w:p w14:paraId="4232EFE9" w14:textId="372AA0C7" w:rsidR="00C04BB6" w:rsidRDefault="00C04BB6" w:rsidP="0069034A">
            <w:pPr>
              <w:pStyle w:val="NormalWeb"/>
              <w:spacing w:before="120" w:beforeAutospacing="0" w:after="120" w:afterAutospacing="0"/>
              <w:ind w:right="1344"/>
              <w:rPr>
                <w:rFonts w:ascii="Arial" w:hAnsi="Arial" w:cs="Arial"/>
                <w:color w:val="333333"/>
                <w:sz w:val="22"/>
                <w:szCs w:val="22"/>
              </w:rPr>
            </w:pPr>
          </w:p>
          <w:p w14:paraId="7966B1AE" w14:textId="61A96F6E" w:rsidR="00C04BB6" w:rsidRDefault="00C04BB6"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b/>
                <w:bCs/>
                <w:noProof/>
                <w:color w:val="996699"/>
                <w:sz w:val="22"/>
                <w:szCs w:val="22"/>
              </w:rPr>
              <w:lastRenderedPageBreak/>
              <w:drawing>
                <wp:anchor distT="0" distB="0" distL="114300" distR="114300" simplePos="0" relativeHeight="251662336" behindDoc="0" locked="0" layoutInCell="1" allowOverlap="1" wp14:anchorId="74B31DF5" wp14:editId="3DB2514D">
                  <wp:simplePos x="0" y="0"/>
                  <wp:positionH relativeFrom="column">
                    <wp:posOffset>-333375</wp:posOffset>
                  </wp:positionH>
                  <wp:positionV relativeFrom="paragraph">
                    <wp:posOffset>15875</wp:posOffset>
                  </wp:positionV>
                  <wp:extent cx="6659880" cy="4110990"/>
                  <wp:effectExtent l="0" t="0" r="7620" b="3810"/>
                  <wp:wrapNone/>
                  <wp:docPr id="9" name="Picture 9">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a:hlinkClick r:id="rId30" tgtFrame="&quot;_blank&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659880" cy="4110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85EA3D" w14:textId="6E986CAF" w:rsidR="00C04BB6" w:rsidRDefault="00C04BB6" w:rsidP="0069034A">
            <w:pPr>
              <w:pStyle w:val="NormalWeb"/>
              <w:spacing w:before="120" w:beforeAutospacing="0" w:after="120" w:afterAutospacing="0"/>
              <w:ind w:right="1344"/>
              <w:rPr>
                <w:rFonts w:ascii="Arial" w:hAnsi="Arial" w:cs="Arial"/>
                <w:color w:val="333333"/>
                <w:sz w:val="22"/>
                <w:szCs w:val="22"/>
              </w:rPr>
            </w:pPr>
          </w:p>
          <w:p w14:paraId="2922F50A" w14:textId="5E394DF1" w:rsidR="00C04BB6" w:rsidRDefault="00C04BB6" w:rsidP="0069034A">
            <w:pPr>
              <w:pStyle w:val="NormalWeb"/>
              <w:spacing w:before="120" w:beforeAutospacing="0" w:after="120" w:afterAutospacing="0"/>
              <w:ind w:right="1344"/>
              <w:rPr>
                <w:rFonts w:ascii="Arial" w:hAnsi="Arial" w:cs="Arial"/>
                <w:color w:val="333333"/>
                <w:sz w:val="22"/>
                <w:szCs w:val="22"/>
              </w:rPr>
            </w:pPr>
          </w:p>
          <w:p w14:paraId="72F93281" w14:textId="6EE4A482" w:rsidR="00C04BB6" w:rsidRDefault="00C04BB6" w:rsidP="0069034A">
            <w:pPr>
              <w:pStyle w:val="NormalWeb"/>
              <w:spacing w:before="120" w:beforeAutospacing="0" w:after="120" w:afterAutospacing="0"/>
              <w:ind w:right="1344"/>
              <w:rPr>
                <w:rFonts w:ascii="Arial" w:hAnsi="Arial" w:cs="Arial"/>
                <w:color w:val="333333"/>
                <w:sz w:val="22"/>
                <w:szCs w:val="22"/>
              </w:rPr>
            </w:pPr>
          </w:p>
          <w:p w14:paraId="4BC2D1C1" w14:textId="5E7B5156" w:rsidR="00C04BB6" w:rsidRDefault="00C04BB6" w:rsidP="0069034A">
            <w:pPr>
              <w:pStyle w:val="NormalWeb"/>
              <w:spacing w:before="120" w:beforeAutospacing="0" w:after="120" w:afterAutospacing="0"/>
              <w:ind w:right="1344"/>
              <w:rPr>
                <w:rFonts w:ascii="Arial" w:hAnsi="Arial" w:cs="Arial"/>
                <w:color w:val="333333"/>
                <w:sz w:val="22"/>
                <w:szCs w:val="22"/>
              </w:rPr>
            </w:pPr>
          </w:p>
          <w:p w14:paraId="6B01B645" w14:textId="4034A4B2" w:rsidR="00C04BB6" w:rsidRDefault="00C04BB6" w:rsidP="0069034A">
            <w:pPr>
              <w:pStyle w:val="NormalWeb"/>
              <w:spacing w:before="120" w:beforeAutospacing="0" w:after="120" w:afterAutospacing="0"/>
              <w:ind w:right="1344"/>
              <w:rPr>
                <w:rFonts w:ascii="Arial" w:hAnsi="Arial" w:cs="Arial"/>
                <w:color w:val="333333"/>
                <w:sz w:val="22"/>
                <w:szCs w:val="22"/>
              </w:rPr>
            </w:pPr>
          </w:p>
          <w:p w14:paraId="76F03AC0" w14:textId="0A23EE19" w:rsidR="00C04BB6" w:rsidRDefault="00C04BB6" w:rsidP="0069034A">
            <w:pPr>
              <w:pStyle w:val="NormalWeb"/>
              <w:spacing w:before="120" w:beforeAutospacing="0" w:after="120" w:afterAutospacing="0"/>
              <w:ind w:right="1344"/>
              <w:rPr>
                <w:rFonts w:ascii="Arial" w:hAnsi="Arial" w:cs="Arial"/>
                <w:color w:val="333333"/>
                <w:sz w:val="22"/>
                <w:szCs w:val="22"/>
              </w:rPr>
            </w:pPr>
          </w:p>
          <w:p w14:paraId="2E53B140" w14:textId="4B8A955B" w:rsidR="00C04BB6" w:rsidRDefault="00C04BB6" w:rsidP="0069034A">
            <w:pPr>
              <w:pStyle w:val="NormalWeb"/>
              <w:spacing w:before="120" w:beforeAutospacing="0" w:after="120" w:afterAutospacing="0"/>
              <w:ind w:right="1344"/>
              <w:rPr>
                <w:rFonts w:ascii="Arial" w:hAnsi="Arial" w:cs="Arial"/>
                <w:color w:val="333333"/>
                <w:sz w:val="22"/>
                <w:szCs w:val="22"/>
              </w:rPr>
            </w:pPr>
          </w:p>
          <w:p w14:paraId="7E29D7FE" w14:textId="5D1B692B" w:rsidR="00C04BB6" w:rsidRDefault="00C04BB6" w:rsidP="0069034A">
            <w:pPr>
              <w:pStyle w:val="NormalWeb"/>
              <w:spacing w:before="120" w:beforeAutospacing="0" w:after="120" w:afterAutospacing="0"/>
              <w:ind w:right="1344"/>
              <w:rPr>
                <w:rFonts w:ascii="Arial" w:hAnsi="Arial" w:cs="Arial"/>
                <w:color w:val="333333"/>
                <w:sz w:val="22"/>
                <w:szCs w:val="22"/>
              </w:rPr>
            </w:pPr>
          </w:p>
          <w:p w14:paraId="6A451439" w14:textId="215F82AA" w:rsidR="00C04BB6" w:rsidRDefault="00C04BB6" w:rsidP="0069034A">
            <w:pPr>
              <w:pStyle w:val="NormalWeb"/>
              <w:spacing w:before="120" w:beforeAutospacing="0" w:after="120" w:afterAutospacing="0"/>
              <w:ind w:right="1344"/>
              <w:rPr>
                <w:rFonts w:ascii="Arial" w:hAnsi="Arial" w:cs="Arial"/>
                <w:color w:val="333333"/>
                <w:sz w:val="22"/>
                <w:szCs w:val="22"/>
              </w:rPr>
            </w:pPr>
          </w:p>
          <w:p w14:paraId="7EF0044A" w14:textId="0C67211A" w:rsidR="00C04BB6" w:rsidRDefault="00C04BB6" w:rsidP="0069034A">
            <w:pPr>
              <w:pStyle w:val="NormalWeb"/>
              <w:spacing w:before="120" w:beforeAutospacing="0" w:after="120" w:afterAutospacing="0"/>
              <w:ind w:right="1344"/>
              <w:rPr>
                <w:rFonts w:ascii="Arial" w:hAnsi="Arial" w:cs="Arial"/>
                <w:color w:val="333333"/>
                <w:sz w:val="22"/>
                <w:szCs w:val="22"/>
              </w:rPr>
            </w:pPr>
          </w:p>
          <w:p w14:paraId="5F2EA1E9" w14:textId="01C4E697" w:rsidR="00C04BB6" w:rsidRDefault="00C04BB6" w:rsidP="0069034A">
            <w:pPr>
              <w:pStyle w:val="NormalWeb"/>
              <w:spacing w:before="120" w:beforeAutospacing="0" w:after="120" w:afterAutospacing="0"/>
              <w:ind w:right="1344"/>
              <w:rPr>
                <w:rFonts w:ascii="Arial" w:hAnsi="Arial" w:cs="Arial"/>
                <w:color w:val="333333"/>
                <w:sz w:val="22"/>
                <w:szCs w:val="22"/>
              </w:rPr>
            </w:pPr>
          </w:p>
          <w:p w14:paraId="5CBA04CF" w14:textId="6AC1D081" w:rsidR="00C04BB6" w:rsidRDefault="00C04BB6" w:rsidP="0069034A">
            <w:pPr>
              <w:pStyle w:val="NormalWeb"/>
              <w:spacing w:before="120" w:beforeAutospacing="0" w:after="120" w:afterAutospacing="0"/>
              <w:ind w:right="1344"/>
              <w:rPr>
                <w:rFonts w:ascii="Arial" w:hAnsi="Arial" w:cs="Arial"/>
                <w:color w:val="333333"/>
                <w:sz w:val="22"/>
                <w:szCs w:val="22"/>
              </w:rPr>
            </w:pPr>
          </w:p>
          <w:p w14:paraId="2A187E8E" w14:textId="4CB9D257" w:rsidR="00C04BB6" w:rsidRDefault="00C04BB6" w:rsidP="0069034A">
            <w:pPr>
              <w:pStyle w:val="NormalWeb"/>
              <w:spacing w:before="120" w:beforeAutospacing="0" w:after="120" w:afterAutospacing="0"/>
              <w:ind w:right="1344"/>
              <w:rPr>
                <w:rFonts w:ascii="Arial" w:hAnsi="Arial" w:cs="Arial"/>
                <w:color w:val="333333"/>
                <w:sz w:val="22"/>
                <w:szCs w:val="22"/>
              </w:rPr>
            </w:pPr>
          </w:p>
          <w:p w14:paraId="04919753" w14:textId="13A3ABD8" w:rsidR="00C04BB6" w:rsidRPr="00BD6751" w:rsidRDefault="00C04BB6" w:rsidP="0069034A">
            <w:pPr>
              <w:pStyle w:val="NormalWeb"/>
              <w:spacing w:before="120" w:beforeAutospacing="0" w:after="120" w:afterAutospacing="0"/>
              <w:ind w:right="1344"/>
              <w:rPr>
                <w:rFonts w:ascii="Arial" w:hAnsi="Arial" w:cs="Arial"/>
                <w:color w:val="333333"/>
                <w:sz w:val="22"/>
                <w:szCs w:val="22"/>
              </w:rPr>
            </w:pPr>
          </w:p>
          <w:p w14:paraId="1FE2C1B4" w14:textId="2E74A896" w:rsidR="00BD6751" w:rsidRDefault="00BD6751" w:rsidP="0069034A">
            <w:pPr>
              <w:pStyle w:val="NormalWeb"/>
              <w:spacing w:before="120" w:beforeAutospacing="0" w:after="120" w:afterAutospacing="0"/>
              <w:ind w:left="600" w:right="1344"/>
              <w:rPr>
                <w:rFonts w:ascii="Arial" w:hAnsi="Arial" w:cs="Arial"/>
                <w:color w:val="333333"/>
                <w:sz w:val="22"/>
                <w:szCs w:val="22"/>
              </w:rPr>
            </w:pPr>
          </w:p>
          <w:p w14:paraId="4C745224" w14:textId="25800C24"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C5E8B7C" w14:textId="1219D5B0"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7F580789" w14:textId="77777777" w:rsidR="0069034A" w:rsidRPr="00BD6751" w:rsidRDefault="0069034A" w:rsidP="0069034A">
            <w:pPr>
              <w:pStyle w:val="NormalWeb"/>
              <w:spacing w:before="120" w:beforeAutospacing="0" w:after="120" w:afterAutospacing="0"/>
              <w:ind w:right="1344"/>
              <w:rPr>
                <w:rFonts w:ascii="Arial" w:hAnsi="Arial" w:cs="Arial"/>
                <w:color w:val="333333"/>
                <w:sz w:val="22"/>
                <w:szCs w:val="22"/>
              </w:rPr>
            </w:pPr>
          </w:p>
          <w:p w14:paraId="592DE4C4" w14:textId="5F745F40"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You can find out more about using algebra tiles as representations for many algebraic manipulations from our </w:t>
            </w:r>
            <w:hyperlink r:id="rId32" w:history="1">
              <w:r w:rsidRPr="00BD6751">
                <w:rPr>
                  <w:rStyle w:val="Hyperlink"/>
                  <w:rFonts w:ascii="Arial" w:hAnsi="Arial" w:cs="Arial"/>
                  <w:b/>
                  <w:bCs/>
                  <w:color w:val="996699"/>
                  <w:sz w:val="22"/>
                  <w:szCs w:val="22"/>
                </w:rPr>
                <w:t>set of six videos</w:t>
              </w:r>
            </w:hyperlink>
            <w:r w:rsidRPr="00BD6751">
              <w:rPr>
                <w:rFonts w:ascii="Arial" w:hAnsi="Arial" w:cs="Arial"/>
                <w:color w:val="333333"/>
                <w:sz w:val="22"/>
                <w:szCs w:val="22"/>
              </w:rPr>
              <w:t>, or </w:t>
            </w:r>
            <w:hyperlink r:id="rId33" w:tgtFrame="_blank" w:history="1">
              <w:r w:rsidRPr="00BD6751">
                <w:rPr>
                  <w:rStyle w:val="Hyperlink"/>
                  <w:rFonts w:ascii="Arial" w:hAnsi="Arial" w:cs="Arial"/>
                  <w:b/>
                  <w:bCs/>
                  <w:color w:val="996699"/>
                  <w:sz w:val="22"/>
                  <w:szCs w:val="22"/>
                </w:rPr>
                <w:t>this PDF</w:t>
              </w:r>
            </w:hyperlink>
            <w:r w:rsidRPr="00BD6751">
              <w:rPr>
                <w:rFonts w:ascii="Arial" w:hAnsi="Arial" w:cs="Arial"/>
                <w:color w:val="333333"/>
                <w:sz w:val="22"/>
                <w:szCs w:val="22"/>
              </w:rPr>
              <w:t> from our Professional Development Materials.</w:t>
            </w:r>
          </w:p>
          <w:p w14:paraId="50AE0CE4" w14:textId="3051F0AA" w:rsid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You can find out more about using arrays and area models in </w:t>
            </w:r>
            <w:hyperlink r:id="rId34" w:tgtFrame="_blank" w:history="1">
              <w:r w:rsidRPr="00BD6751">
                <w:rPr>
                  <w:rStyle w:val="Hyperlink"/>
                  <w:rFonts w:ascii="Arial" w:hAnsi="Arial" w:cs="Arial"/>
                  <w:b/>
                  <w:bCs/>
                  <w:color w:val="996699"/>
                  <w:sz w:val="22"/>
                  <w:szCs w:val="22"/>
                </w:rPr>
                <w:t>this PDF</w:t>
              </w:r>
            </w:hyperlink>
            <w:r w:rsidRPr="00BD6751">
              <w:rPr>
                <w:rFonts w:ascii="Arial" w:hAnsi="Arial" w:cs="Arial"/>
                <w:color w:val="333333"/>
                <w:sz w:val="22"/>
                <w:szCs w:val="22"/>
              </w:rPr>
              <w:t> from the materials.</w:t>
            </w:r>
          </w:p>
          <w:p w14:paraId="0887FB3D" w14:textId="4A518C3B" w:rsidR="00C04BB6" w:rsidRDefault="00C04BB6" w:rsidP="0069034A">
            <w:pPr>
              <w:pStyle w:val="NormalWeb"/>
              <w:spacing w:before="120" w:beforeAutospacing="0" w:after="120" w:afterAutospacing="0"/>
              <w:ind w:right="1344"/>
              <w:rPr>
                <w:rFonts w:ascii="Arial" w:hAnsi="Arial" w:cs="Arial"/>
                <w:color w:val="333333"/>
                <w:sz w:val="22"/>
                <w:szCs w:val="22"/>
              </w:rPr>
            </w:pPr>
          </w:p>
          <w:p w14:paraId="0C5389EA" w14:textId="77777777" w:rsidR="00C04BB6" w:rsidRPr="00BD6751" w:rsidRDefault="00C04BB6" w:rsidP="0069034A">
            <w:pPr>
              <w:pStyle w:val="NormalWeb"/>
              <w:spacing w:before="120" w:beforeAutospacing="0" w:after="120" w:afterAutospacing="0"/>
              <w:ind w:right="1344"/>
              <w:rPr>
                <w:rFonts w:ascii="Arial" w:hAnsi="Arial" w:cs="Arial"/>
                <w:color w:val="333333"/>
                <w:sz w:val="22"/>
                <w:szCs w:val="22"/>
              </w:rPr>
            </w:pPr>
          </w:p>
          <w:p w14:paraId="403170ED"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Style w:val="Strong"/>
                <w:rFonts w:ascii="Arial" w:hAnsi="Arial" w:cs="Arial"/>
                <w:color w:val="333333"/>
                <w:sz w:val="22"/>
                <w:szCs w:val="22"/>
              </w:rPr>
              <w:t>Erin Butler</w:t>
            </w:r>
            <w:r w:rsidRPr="00BD6751">
              <w:rPr>
                <w:rFonts w:ascii="Arial" w:hAnsi="Arial" w:cs="Arial"/>
                <w:color w:val="333333"/>
                <w:sz w:val="22"/>
                <w:szCs w:val="22"/>
              </w:rPr>
              <w:t> is a Mastery Specialist and Lead Practitioner from Bishop Perowne CE College in Worcester.</w:t>
            </w:r>
          </w:p>
          <w:p w14:paraId="43C615BB"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With an eye on using the area model for factorising/expanding quadratics and completing the square in KS4, she describes teaching square numbers to her Year 7 classes (Set 1 and Set 7).</w:t>
            </w:r>
          </w:p>
          <w:p w14:paraId="213C7469"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 looked at this extract from the materials, where an area model is used to represent the multiplication of two expressions to form a quadratic. I thought about how this could be applied to completing the square.</w:t>
            </w:r>
          </w:p>
          <w:p w14:paraId="274AB2F1" w14:textId="3C435978"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br/>
            </w:r>
          </w:p>
          <w:p w14:paraId="2646E973" w14:textId="5C1639AE"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2824B0A1" w14:textId="77777777"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5AC7DF36" w14:textId="77777777"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453EFC1B" w14:textId="77777777"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56536D21" w14:textId="77777777"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47B05FD3" w14:textId="3E612097" w:rsidR="00C04BB6" w:rsidRDefault="0069034A"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b/>
                <w:bCs/>
                <w:noProof/>
                <w:color w:val="996699"/>
                <w:sz w:val="22"/>
                <w:szCs w:val="22"/>
              </w:rPr>
              <w:lastRenderedPageBreak/>
              <w:drawing>
                <wp:anchor distT="0" distB="0" distL="114300" distR="114300" simplePos="0" relativeHeight="251663360" behindDoc="0" locked="0" layoutInCell="1" allowOverlap="1" wp14:anchorId="3D45C831" wp14:editId="6905B369">
                  <wp:simplePos x="0" y="0"/>
                  <wp:positionH relativeFrom="column">
                    <wp:posOffset>-280670</wp:posOffset>
                  </wp:positionH>
                  <wp:positionV relativeFrom="paragraph">
                    <wp:posOffset>53975</wp:posOffset>
                  </wp:positionV>
                  <wp:extent cx="6666865" cy="5849620"/>
                  <wp:effectExtent l="0" t="0" r="635" b="0"/>
                  <wp:wrapNone/>
                  <wp:docPr id="8" name="Picture 8">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666865" cy="58496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8124C5" w14:textId="79EDD151"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23FDD6B5" w14:textId="6A593F52"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5D6CE59" w14:textId="5D3D9C28"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61D3F5EB" w14:textId="13958D7A"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CDC680A" w14:textId="667E4B1E"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08CBA2DE" w14:textId="3516950F"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6AD73E5F" w14:textId="370A24D9"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0A4AF45F" w14:textId="7EB47513"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6881D8F4" w14:textId="6EC7F0E0"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75E0F17C" w14:textId="3BC7069F"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11270661" w14:textId="32AAD70F"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43EC3347" w14:textId="6E7CA3F3"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30AFFF89" w14:textId="52F2FDC4"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53D7D4F5" w14:textId="787F21C3"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403F2D0D" w14:textId="3975369A"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60BC8BC8" w14:textId="3C4B6FB1"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3508B2B1" w14:textId="29BBFE87"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2C204CCC" w14:textId="6E2EFA16"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1B3CFEE1" w14:textId="0E0AABF9"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4A7425B4" w14:textId="64D757B6"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344CBB7B" w14:textId="7EC139C4"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55D21D79" w14:textId="78C17BCD"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31B7674D" w14:textId="6402CA50"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5A185AFE" w14:textId="7367ACBE" w:rsidR="00C04BB6" w:rsidRDefault="00C04BB6" w:rsidP="0069034A">
            <w:pPr>
              <w:pStyle w:val="NormalWeb"/>
              <w:spacing w:before="120" w:beforeAutospacing="0" w:after="120" w:afterAutospacing="0"/>
              <w:ind w:left="600" w:right="1344"/>
              <w:rPr>
                <w:rFonts w:ascii="Arial" w:hAnsi="Arial" w:cs="Arial"/>
                <w:color w:val="333333"/>
                <w:sz w:val="22"/>
                <w:szCs w:val="22"/>
              </w:rPr>
            </w:pPr>
          </w:p>
          <w:p w14:paraId="78E28F03" w14:textId="269554D6" w:rsidR="00C04BB6" w:rsidRDefault="00C04BB6" w:rsidP="0069034A">
            <w:pPr>
              <w:pStyle w:val="NormalWeb"/>
              <w:spacing w:before="120" w:beforeAutospacing="0" w:after="120" w:afterAutospacing="0"/>
              <w:ind w:right="1344"/>
              <w:rPr>
                <w:rFonts w:ascii="Arial" w:hAnsi="Arial" w:cs="Arial"/>
                <w:color w:val="333333"/>
                <w:sz w:val="22"/>
                <w:szCs w:val="22"/>
              </w:rPr>
            </w:pPr>
          </w:p>
          <w:p w14:paraId="77BF965F" w14:textId="7BD52F3F"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 tracked right back to what I was doing with my Year 7 classes, learning about square numbers. I teach a Set 1 and Set 7 (of 7) in Year 7. When I checked prior knowledge with Set 1, all of them could tell me that the square root of 49 is 7, but not one of them could explain why.</w:t>
            </w:r>
          </w:p>
          <w:p w14:paraId="0BF8BE04"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'Having thought about the idea of an area model for multiplying algebraic expressions, I could see the benefit this model could have when being introduced in Year 7 with square numbers and used continuously throughout the curriculum. Students fluent in the ability to draw and interpret pictorial representations could apply this tool to develop deeper levels of understanding as they progress though the different stages of their education, applying this to concepts seen in the higher tiered GCSE content. This is what inspired me to teach square numbers pictorially.</w:t>
            </w:r>
          </w:p>
          <w:p w14:paraId="609E4A89" w14:textId="40B735A0"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'When learning about squares and square roots, we physically made, on our whiteboards, a square one by one, and we talked about ‘</w:t>
            </w:r>
            <w:r w:rsidRPr="00BD6751">
              <w:rPr>
                <w:rFonts w:ascii="Arial" w:hAnsi="Arial" w:cs="Arial"/>
                <w:noProof/>
                <w:color w:val="333333"/>
                <w:sz w:val="22"/>
                <w:szCs w:val="22"/>
              </w:rPr>
              <w:drawing>
                <wp:inline distT="0" distB="0" distL="0" distR="0" wp14:anchorId="391DC230" wp14:editId="6E629B95">
                  <wp:extent cx="553085" cy="93345"/>
                  <wp:effectExtent l="0" t="0" r="0" b="1905"/>
                  <wp:docPr id="7" name="Picture 7" descr="1\time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1\times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53085" cy="93345"/>
                          </a:xfrm>
                          <a:prstGeom prst="rect">
                            <a:avLst/>
                          </a:prstGeom>
                          <a:noFill/>
                          <a:ln>
                            <a:noFill/>
                          </a:ln>
                        </pic:spPr>
                      </pic:pic>
                    </a:graphicData>
                  </a:graphic>
                </wp:inline>
              </w:drawing>
            </w:r>
            <w:r w:rsidRPr="00BD6751">
              <w:rPr>
                <w:rFonts w:ascii="Arial" w:hAnsi="Arial" w:cs="Arial"/>
                <w:color w:val="333333"/>
                <w:sz w:val="22"/>
                <w:szCs w:val="22"/>
              </w:rPr>
              <w:t xml:space="preserve">’ discovering how that physically created a square. We continued to create squares (two-by-two, etc) and linked our discoveries to </w:t>
            </w:r>
            <w:r w:rsidRPr="00BD6751">
              <w:rPr>
                <w:rFonts w:ascii="Arial" w:hAnsi="Arial" w:cs="Arial"/>
                <w:color w:val="333333"/>
                <w:sz w:val="22"/>
                <w:szCs w:val="22"/>
              </w:rPr>
              <w:lastRenderedPageBreak/>
              <w:t>the properties that make a square. We discussed how some numbers get the name ‘square’. Because they make a square!</w:t>
            </w:r>
          </w:p>
          <w:p w14:paraId="339E549E" w14:textId="48838492"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'This gave me an opportunity to talk deeply with them about inverses, what makes a perfect square, what the difference is between a square number and squaring a number, between square rooting any number and square rooting a perfect square.</w:t>
            </w:r>
          </w:p>
          <w:p w14:paraId="5C210BFC" w14:textId="7C2C975B"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'With Set 7, I started in the same way, by drawing pictures. They struggled to understand that the dimensions didn’t represent the square number. They had their ‘lightbulb moment’ when I asked them to prove whether 5 was a square number. They discovered that no matter how they manipulated the picture they could never create a square using 5 tiles.'</w:t>
            </w:r>
          </w:p>
          <w:p w14:paraId="7AD5B389" w14:textId="46A8D982"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About the Professional Development Materials, Erin says:</w:t>
            </w:r>
          </w:p>
          <w:p w14:paraId="73558BAC" w14:textId="1162EA79" w:rsid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 find the materials really useful to understand the development of a concept, so that you can establish the foundation skills in KS3 that will enable understanding of more complex ideas in KS4. If I look further up the curriculum, it helps me understand how to teach the younger students. Building familiarity with representations in KS3 with more simple concepts is the key to using them to unlock more complex concepts in KS4. Students are able to make connections with what they already know.'</w:t>
            </w:r>
          </w:p>
          <w:p w14:paraId="1AC9EBD1" w14:textId="4F686BD2" w:rsidR="00486C50" w:rsidRDefault="00486C50" w:rsidP="0069034A">
            <w:pPr>
              <w:pStyle w:val="NormalWeb"/>
              <w:spacing w:before="120" w:beforeAutospacing="0" w:after="120" w:afterAutospacing="0"/>
              <w:ind w:left="600" w:right="1344"/>
              <w:rPr>
                <w:rFonts w:ascii="Arial" w:hAnsi="Arial" w:cs="Arial"/>
                <w:color w:val="333333"/>
                <w:sz w:val="22"/>
                <w:szCs w:val="22"/>
              </w:rPr>
            </w:pPr>
          </w:p>
          <w:p w14:paraId="73FD2849" w14:textId="77777777" w:rsidR="00486C50" w:rsidRPr="00BD6751" w:rsidRDefault="00486C50" w:rsidP="0069034A">
            <w:pPr>
              <w:pStyle w:val="NormalWeb"/>
              <w:spacing w:before="120" w:beforeAutospacing="0" w:after="120" w:afterAutospacing="0"/>
              <w:ind w:left="600" w:right="1344"/>
              <w:rPr>
                <w:rFonts w:ascii="Arial" w:hAnsi="Arial" w:cs="Arial"/>
                <w:color w:val="333333"/>
                <w:sz w:val="22"/>
                <w:szCs w:val="22"/>
              </w:rPr>
            </w:pPr>
          </w:p>
          <w:p w14:paraId="33DC3DE5" w14:textId="54AFAB74"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Style w:val="Strong"/>
                <w:rFonts w:ascii="Arial" w:hAnsi="Arial" w:cs="Arial"/>
                <w:color w:val="333333"/>
                <w:sz w:val="22"/>
                <w:szCs w:val="22"/>
              </w:rPr>
              <w:t>Steve Harvey</w:t>
            </w:r>
            <w:r w:rsidRPr="00BD6751">
              <w:rPr>
                <w:rFonts w:ascii="Arial" w:hAnsi="Arial" w:cs="Arial"/>
                <w:color w:val="333333"/>
                <w:sz w:val="22"/>
                <w:szCs w:val="22"/>
              </w:rPr>
              <w:t> is a Mastery Specialist and Head of Department at Wolverley CofE School in Kidderminster. With his top set Year 11 class, Steve wanted to try out using algebra tiles that he had read about in the Mastery Professional Development Materials.</w:t>
            </w:r>
          </w:p>
          <w:p w14:paraId="233F5023" w14:textId="1782FEA2"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'We had already been looking at completing the square algebraically in a previous lesson, and I had been reading the document from the materials on algebra tiles. I wanted to see what my Year 11 top set could make of the tiles and if they could relate them to what they had learned about completing the square.</w:t>
            </w:r>
          </w:p>
          <w:p w14:paraId="4EF20F4D" w14:textId="2BF918CA"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'This was the relevant bit of the document I had read:</w:t>
            </w:r>
          </w:p>
          <w:p w14:paraId="3741ECD7" w14:textId="294B0CE1" w:rsid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br/>
            </w:r>
          </w:p>
          <w:p w14:paraId="2C066508" w14:textId="3915D77C"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43B1024" w14:textId="5DBF0ECE"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F432C71" w14:textId="58928716"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080D3AE" w14:textId="69455B2D" w:rsidR="0069034A" w:rsidRDefault="0069034A" w:rsidP="00486C50">
            <w:pPr>
              <w:pStyle w:val="NormalWeb"/>
              <w:spacing w:before="120" w:beforeAutospacing="0" w:after="120" w:afterAutospacing="0"/>
              <w:ind w:right="1344"/>
              <w:rPr>
                <w:rFonts w:ascii="Arial" w:hAnsi="Arial" w:cs="Arial"/>
                <w:color w:val="333333"/>
                <w:sz w:val="22"/>
                <w:szCs w:val="22"/>
              </w:rPr>
            </w:pPr>
          </w:p>
          <w:p w14:paraId="24C7CA8E" w14:textId="1FB27C89"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D604A2B" w14:textId="120A2885"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AC12213" w14:textId="4E450FB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4A79A186" w14:textId="37365FAE"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C01736C" w14:textId="1EB5CE94"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FC2BD29" w14:textId="2CDFACFB"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BFBDFEB" w14:textId="28C9FFD5"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68685077" w14:textId="04E3C704"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1569981" w14:textId="787CC43A"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6580D337" w14:textId="1A33BF6C"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4E434EED" w14:textId="0DF06004" w:rsidR="0069034A" w:rsidRDefault="0069034A"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b/>
                <w:bCs/>
                <w:noProof/>
                <w:color w:val="996699"/>
                <w:sz w:val="22"/>
                <w:szCs w:val="22"/>
              </w:rPr>
              <w:lastRenderedPageBreak/>
              <w:drawing>
                <wp:anchor distT="0" distB="0" distL="114300" distR="114300" simplePos="0" relativeHeight="251664384" behindDoc="0" locked="0" layoutInCell="1" allowOverlap="1" wp14:anchorId="45AF82BB" wp14:editId="4080142A">
                  <wp:simplePos x="0" y="0"/>
                  <wp:positionH relativeFrom="column">
                    <wp:posOffset>-451485</wp:posOffset>
                  </wp:positionH>
                  <wp:positionV relativeFrom="paragraph">
                    <wp:posOffset>81280</wp:posOffset>
                  </wp:positionV>
                  <wp:extent cx="6666865" cy="6724650"/>
                  <wp:effectExtent l="0" t="0" r="635" b="0"/>
                  <wp:wrapNone/>
                  <wp:docPr id="6" name="Picture 6">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a:hlinkClick r:id="rId38" tgtFrame="&quot;_blank&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666865" cy="6724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BC8752" w14:textId="02E7E5D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6753ECBE" w14:textId="469C60DA"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D553C73" w14:textId="19FCB782"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F18C4C1" w14:textId="7B8A912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C06C6FD" w14:textId="0D9829A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4D3360B7" w14:textId="4BEC110E"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FF166F1" w14:textId="6EEA16D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578353F" w14:textId="0F9F7733"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73AC93AD" w14:textId="3EAA3DDF"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4146EC0" w14:textId="3EE99451"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1EBB5BA" w14:textId="6AA7734A"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4FECC1A" w14:textId="2DE8E2B4"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5A4DE463" w14:textId="793F915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6B8901A" w14:textId="417CFDE7"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73255331" w14:textId="79F57B8E"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5991E10F" w14:textId="4C73DAA2"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3975F0F" w14:textId="31266CA3"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A2266CF" w14:textId="04CED284"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D6ED817" w14:textId="70649E6E"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5F1EC504" w14:textId="3A790963"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5069FA20" w14:textId="0CAD6B54"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73FB36DA" w14:textId="07743206"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FAFC828" w14:textId="659E4DF1"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5210539" w14:textId="5ED21A0C"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3D3E1CFF" w14:textId="12EB25ED"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621AACEB" w14:textId="34689993"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2BD86CF4" w14:textId="28D88A3C"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163BDF1D" w14:textId="11EB21AC" w:rsidR="0069034A" w:rsidRDefault="0069034A" w:rsidP="0069034A">
            <w:pPr>
              <w:pStyle w:val="NormalWeb"/>
              <w:spacing w:before="120" w:beforeAutospacing="0" w:after="120" w:afterAutospacing="0"/>
              <w:ind w:left="600" w:right="1344"/>
              <w:rPr>
                <w:rFonts w:ascii="Arial" w:hAnsi="Arial" w:cs="Arial"/>
                <w:color w:val="333333"/>
                <w:sz w:val="22"/>
                <w:szCs w:val="22"/>
              </w:rPr>
            </w:pPr>
          </w:p>
          <w:p w14:paraId="081301BC" w14:textId="77777777" w:rsidR="0069034A" w:rsidRPr="00BD6751" w:rsidRDefault="0069034A" w:rsidP="0069034A">
            <w:pPr>
              <w:pStyle w:val="NormalWeb"/>
              <w:spacing w:before="120" w:beforeAutospacing="0" w:after="120" w:afterAutospacing="0"/>
              <w:ind w:right="1344"/>
              <w:rPr>
                <w:rFonts w:ascii="Arial" w:hAnsi="Arial" w:cs="Arial"/>
                <w:color w:val="333333"/>
                <w:sz w:val="22"/>
                <w:szCs w:val="22"/>
              </w:rPr>
            </w:pPr>
          </w:p>
          <w:p w14:paraId="7727D536" w14:textId="142E05C2"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 gave the students an </w:t>
            </w:r>
            <w:r w:rsidRPr="00BD6751">
              <w:rPr>
                <w:rFonts w:ascii="Arial" w:hAnsi="Arial" w:cs="Arial"/>
                <w:noProof/>
                <w:color w:val="333333"/>
                <w:sz w:val="22"/>
                <w:szCs w:val="22"/>
              </w:rPr>
              <w:drawing>
                <wp:inline distT="0" distB="0" distL="0" distR="0" wp14:anchorId="79370ADC" wp14:editId="3A34BC71">
                  <wp:extent cx="139700" cy="116205"/>
                  <wp:effectExtent l="0" t="0" r="0" b="0"/>
                  <wp:docPr id="5" name="Picture 5"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x^{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700" cy="116205"/>
                          </a:xfrm>
                          <a:prstGeom prst="rect">
                            <a:avLst/>
                          </a:prstGeom>
                          <a:noFill/>
                          <a:ln>
                            <a:noFill/>
                          </a:ln>
                        </pic:spPr>
                      </pic:pic>
                    </a:graphicData>
                  </a:graphic>
                </wp:inline>
              </w:drawing>
            </w:r>
            <w:r w:rsidRPr="00BD6751">
              <w:rPr>
                <w:rFonts w:ascii="Arial" w:hAnsi="Arial" w:cs="Arial"/>
                <w:color w:val="333333"/>
                <w:sz w:val="22"/>
                <w:szCs w:val="22"/>
              </w:rPr>
              <w:t> tile, six of the </w:t>
            </w:r>
            <w:r w:rsidRPr="00BD6751">
              <w:rPr>
                <w:rFonts w:ascii="Arial" w:hAnsi="Arial" w:cs="Arial"/>
                <w:noProof/>
                <w:color w:val="333333"/>
                <w:sz w:val="22"/>
                <w:szCs w:val="22"/>
              </w:rPr>
              <w:drawing>
                <wp:inline distT="0" distB="0" distL="0" distR="0" wp14:anchorId="4FA88C56" wp14:editId="214E9683">
                  <wp:extent cx="93345" cy="75565"/>
                  <wp:effectExtent l="0" t="0" r="1905" b="635"/>
                  <wp:docPr id="4" name="Picture 4" descr="\dpi{80} \fn_jvn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pi{80} \fn_jvn 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 cy="75565"/>
                          </a:xfrm>
                          <a:prstGeom prst="rect">
                            <a:avLst/>
                          </a:prstGeom>
                          <a:noFill/>
                          <a:ln>
                            <a:noFill/>
                          </a:ln>
                        </pic:spPr>
                      </pic:pic>
                    </a:graphicData>
                  </a:graphic>
                </wp:inline>
              </w:drawing>
            </w:r>
            <w:r w:rsidRPr="00BD6751">
              <w:rPr>
                <w:rFonts w:ascii="Arial" w:hAnsi="Arial" w:cs="Arial"/>
                <w:color w:val="333333"/>
                <w:sz w:val="22"/>
                <w:szCs w:val="22"/>
              </w:rPr>
              <w:t> tiles and eight of the </w:t>
            </w:r>
            <w:r w:rsidRPr="00BD6751">
              <w:rPr>
                <w:rFonts w:ascii="Arial" w:hAnsi="Arial" w:cs="Arial"/>
                <w:noProof/>
                <w:color w:val="333333"/>
                <w:sz w:val="22"/>
                <w:szCs w:val="22"/>
              </w:rPr>
              <w:drawing>
                <wp:inline distT="0" distB="0" distL="0" distR="0" wp14:anchorId="101CA72C" wp14:editId="52D3EA0B">
                  <wp:extent cx="174625" cy="93345"/>
                  <wp:effectExtent l="0" t="0" r="0" b="1905"/>
                  <wp:docPr id="3" name="Picture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625" cy="93345"/>
                          </a:xfrm>
                          <a:prstGeom prst="rect">
                            <a:avLst/>
                          </a:prstGeom>
                          <a:noFill/>
                          <a:ln>
                            <a:noFill/>
                          </a:ln>
                        </pic:spPr>
                      </pic:pic>
                    </a:graphicData>
                  </a:graphic>
                </wp:inline>
              </w:drawing>
            </w:r>
            <w:r w:rsidRPr="00BD6751">
              <w:rPr>
                <w:rFonts w:ascii="Arial" w:hAnsi="Arial" w:cs="Arial"/>
                <w:color w:val="333333"/>
                <w:sz w:val="22"/>
                <w:szCs w:val="22"/>
              </w:rPr>
              <w:t> tiles and asked them to try to make a square. We talked about completing the square and what we had done previously, and then I asked them to show me how the tiles could represent completing the square.</w:t>
            </w:r>
          </w:p>
          <w:p w14:paraId="4E2B620A"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'They kind of had an idea of what they were getting to, but all of a sudden, by actually completing a physical square, it made it so much more tangible, so much more understandable to them. I felt a bit daft that I’d never done that [when teaching completing the square] before.</w:t>
            </w:r>
          </w:p>
          <w:p w14:paraId="715D0959"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'Then one student said, ‘I’ve made a rectangle, Sir!’</w:t>
            </w:r>
          </w:p>
          <w:p w14:paraId="193C94DE"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 asked him what he could tell me from that. He paused and then said ‘Oh… I can expand and factorise!’</w:t>
            </w:r>
          </w:p>
          <w:p w14:paraId="4427D41A" w14:textId="3B131B45"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‘If I don’t make a square Sir, and I make a rectangle instead, then I’ve got an </w:t>
            </w:r>
            <w:r w:rsidRPr="00BD6751">
              <w:rPr>
                <w:rFonts w:ascii="Arial" w:hAnsi="Arial" w:cs="Arial"/>
                <w:noProof/>
                <w:color w:val="333333"/>
                <w:sz w:val="22"/>
                <w:szCs w:val="22"/>
              </w:rPr>
              <w:drawing>
                <wp:inline distT="0" distB="0" distL="0" distR="0" wp14:anchorId="3645F3FD" wp14:editId="196B0E5F">
                  <wp:extent cx="139700" cy="116205"/>
                  <wp:effectExtent l="0" t="0" r="0" b="0"/>
                  <wp:docPr id="2" name="Picture 2"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x^{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700" cy="116205"/>
                          </a:xfrm>
                          <a:prstGeom prst="rect">
                            <a:avLst/>
                          </a:prstGeom>
                          <a:noFill/>
                          <a:ln>
                            <a:noFill/>
                          </a:ln>
                        </pic:spPr>
                      </pic:pic>
                    </a:graphicData>
                  </a:graphic>
                </wp:inline>
              </w:drawing>
            </w:r>
            <w:r w:rsidRPr="00BD6751">
              <w:rPr>
                <w:rFonts w:ascii="Arial" w:hAnsi="Arial" w:cs="Arial"/>
                <w:color w:val="333333"/>
                <w:sz w:val="22"/>
                <w:szCs w:val="22"/>
              </w:rPr>
              <w:t> and so many </w:t>
            </w:r>
            <w:r w:rsidRPr="00BD6751">
              <w:rPr>
                <w:rFonts w:ascii="Arial" w:hAnsi="Arial" w:cs="Arial"/>
                <w:noProof/>
                <w:color w:val="333333"/>
                <w:sz w:val="22"/>
                <w:szCs w:val="22"/>
              </w:rPr>
              <w:drawing>
                <wp:inline distT="0" distB="0" distL="0" distR="0" wp14:anchorId="34AE02CF" wp14:editId="7CC44A96">
                  <wp:extent cx="93345" cy="75565"/>
                  <wp:effectExtent l="0" t="0" r="1905" b="635"/>
                  <wp:docPr id="1" name="Picture 1"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3345" cy="75565"/>
                          </a:xfrm>
                          <a:prstGeom prst="rect">
                            <a:avLst/>
                          </a:prstGeom>
                          <a:noFill/>
                          <a:ln>
                            <a:noFill/>
                          </a:ln>
                        </pic:spPr>
                      </pic:pic>
                    </a:graphicData>
                  </a:graphic>
                </wp:inline>
              </w:drawing>
            </w:r>
            <w:r w:rsidRPr="00BD6751">
              <w:rPr>
                <w:rFonts w:ascii="Arial" w:hAnsi="Arial" w:cs="Arial"/>
                <w:color w:val="333333"/>
                <w:sz w:val="22"/>
                <w:szCs w:val="22"/>
              </w:rPr>
              <w:t>’s and the number on the end’. You could almost see the ripple across the classroom. It really inspired their natural curiosity and created a tangible excitement.</w:t>
            </w:r>
          </w:p>
          <w:p w14:paraId="4700BFEA"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'Suddenly, students were making connections and allowing me to see things in a way that I hadn’t seen previously. This is where the PD Materials are so strong – for developing teachers’ subject and pedagogical understanding as well as students’ maths.</w:t>
            </w:r>
          </w:p>
          <w:p w14:paraId="02CF3F04"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'Following this lesson where all students had explored using the tiles, I used the tiles as an option in future lessons. More confident students used them once or twice. Less confident students found it reassuring to use them a lot more.</w:t>
            </w:r>
          </w:p>
          <w:p w14:paraId="63B1291C"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 went in at the deep end with my Year 11 students and now I am working backwards from there to see what we could be using the tiles for as a department. In future, I think they should be introduced in Year 7 to breed familiarity with the equipment. I would introduce them to collect like terms and use them regularly after that, so that students are comfortable to use them to delve into trickier concepts as they progress.</w:t>
            </w:r>
          </w:p>
          <w:p w14:paraId="1E82FAE8"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'In terms of using the PD Materials with my department, we have sat together to discuss using the algebra tiles to represent completing the square. The reaction of my colleagues was much like my own – why haven’t we done this before? This is amazing!</w:t>
            </w:r>
          </w:p>
          <w:p w14:paraId="21E057B2" w14:textId="77777777" w:rsidR="00BD6751" w:rsidRPr="00BD6751" w:rsidRDefault="00BD6751" w:rsidP="0069034A">
            <w:pPr>
              <w:pStyle w:val="NormalWeb"/>
              <w:spacing w:before="120" w:beforeAutospacing="0" w:after="120" w:afterAutospacing="0"/>
              <w:ind w:left="600" w:right="1344"/>
              <w:rPr>
                <w:rFonts w:ascii="Arial" w:hAnsi="Arial" w:cs="Arial"/>
                <w:color w:val="333333"/>
                <w:sz w:val="22"/>
                <w:szCs w:val="22"/>
              </w:rPr>
            </w:pPr>
            <w:r w:rsidRPr="00BD6751">
              <w:rPr>
                <w:rFonts w:ascii="Arial" w:hAnsi="Arial" w:cs="Arial"/>
                <w:color w:val="333333"/>
                <w:sz w:val="22"/>
                <w:szCs w:val="22"/>
              </w:rPr>
              <w:t>'We will be using the materials more over the coming year. I like to try things first before I introduce them to my department – my colleagues like to be confident that they are being introduced to tried and tested ideas backed up by research.'</w:t>
            </w:r>
          </w:p>
          <w:p w14:paraId="36911118"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As well as guidance on using algebra tiles, the Professional Development materials contain </w:t>
            </w:r>
            <w:hyperlink r:id="rId40" w:history="1">
              <w:r w:rsidRPr="00BD6751">
                <w:rPr>
                  <w:rStyle w:val="Hyperlink"/>
                  <w:rFonts w:ascii="Arial" w:hAnsi="Arial" w:cs="Arial"/>
                  <w:b/>
                  <w:bCs/>
                  <w:color w:val="996699"/>
                  <w:sz w:val="22"/>
                  <w:szCs w:val="22"/>
                </w:rPr>
                <w:t>guidance (PDFs and videos)</w:t>
              </w:r>
            </w:hyperlink>
            <w:r w:rsidRPr="00BD6751">
              <w:rPr>
                <w:rFonts w:ascii="Arial" w:hAnsi="Arial" w:cs="Arial"/>
                <w:color w:val="333333"/>
                <w:sz w:val="22"/>
                <w:szCs w:val="22"/>
              </w:rPr>
              <w:t> on Cuisenaire Rods, arrays and area models, bar models, Dienes (and place-value counters), double number lines (and ratio tables), the Gattegno chart, place-value charts and single number lines.</w:t>
            </w:r>
          </w:p>
          <w:p w14:paraId="76499FDB" w14:textId="77777777" w:rsidR="00BD6751" w:rsidRPr="00BD6751" w:rsidRDefault="00BD6751" w:rsidP="0069034A">
            <w:pPr>
              <w:pStyle w:val="NormalWeb"/>
              <w:spacing w:before="120" w:beforeAutospacing="0" w:after="120" w:afterAutospacing="0"/>
              <w:ind w:right="1344"/>
              <w:rPr>
                <w:rFonts w:ascii="Arial" w:hAnsi="Arial" w:cs="Arial"/>
                <w:color w:val="333333"/>
                <w:sz w:val="22"/>
                <w:szCs w:val="22"/>
              </w:rPr>
            </w:pPr>
            <w:r w:rsidRPr="00BD6751">
              <w:rPr>
                <w:rFonts w:ascii="Arial" w:hAnsi="Arial" w:cs="Arial"/>
                <w:color w:val="333333"/>
                <w:sz w:val="22"/>
                <w:szCs w:val="22"/>
              </w:rPr>
              <w:t>You might also like to listen to our podcast </w:t>
            </w:r>
            <w:hyperlink r:id="rId41" w:history="1">
              <w:r w:rsidRPr="00BD6751">
                <w:rPr>
                  <w:rStyle w:val="Hyperlink"/>
                  <w:rFonts w:ascii="Arial" w:hAnsi="Arial" w:cs="Arial"/>
                  <w:b/>
                  <w:bCs/>
                  <w:color w:val="996699"/>
                  <w:sz w:val="22"/>
                  <w:szCs w:val="22"/>
                </w:rPr>
                <w:t>Making the most of our new secondary mastery materials</w:t>
              </w:r>
            </w:hyperlink>
            <w:r w:rsidRPr="00BD6751">
              <w:rPr>
                <w:rFonts w:ascii="Arial" w:hAnsi="Arial" w:cs="Arial"/>
                <w:color w:val="333333"/>
                <w:sz w:val="22"/>
                <w:szCs w:val="22"/>
              </w:rPr>
              <w:t>, in which the authors explain how the materials can help departments and teachers develop their maths pedagogy to teach for deep and connected understanding.</w:t>
            </w:r>
          </w:p>
          <w:p w14:paraId="0186821C" w14:textId="77777777" w:rsidR="00BD6751" w:rsidRDefault="00BD6751" w:rsidP="0069034A">
            <w:pPr>
              <w:pStyle w:val="NormalWeb"/>
              <w:spacing w:before="120" w:beforeAutospacing="0" w:after="120" w:afterAutospacing="0"/>
              <w:ind w:right="2051"/>
              <w:rPr>
                <w:rFonts w:ascii="Arial" w:hAnsi="Arial" w:cs="Arial"/>
                <w:color w:val="333333"/>
                <w:sz w:val="19"/>
                <w:szCs w:val="19"/>
              </w:rPr>
            </w:pPr>
            <w:r>
              <w:rPr>
                <w:rFonts w:ascii="Arial" w:hAnsi="Arial" w:cs="Arial"/>
                <w:color w:val="333333"/>
                <w:sz w:val="19"/>
                <w:szCs w:val="19"/>
              </w:rPr>
              <w:t> </w:t>
            </w:r>
          </w:p>
        </w:tc>
      </w:tr>
    </w:tbl>
    <w:p w14:paraId="170FDAAC" w14:textId="4AFD2E29" w:rsidR="00340E42" w:rsidRDefault="00340E42" w:rsidP="0069034A">
      <w:pPr>
        <w:spacing w:before="120" w:after="120" w:line="240" w:lineRule="auto"/>
        <w:ind w:right="2051"/>
        <w:rPr>
          <w:rFonts w:ascii="Arial" w:hAnsi="Arial" w:cs="Arial"/>
          <w:sz w:val="24"/>
          <w:szCs w:val="24"/>
        </w:rPr>
      </w:pPr>
    </w:p>
    <w:p w14:paraId="6DE0B8A1" w14:textId="6117DB3E" w:rsidR="00CC293D" w:rsidRDefault="00CC293D" w:rsidP="0069034A">
      <w:pPr>
        <w:spacing w:before="120" w:after="120" w:line="240" w:lineRule="auto"/>
        <w:ind w:right="2051"/>
        <w:rPr>
          <w:rFonts w:ascii="Arial" w:hAnsi="Arial" w:cs="Arial"/>
          <w:sz w:val="24"/>
          <w:szCs w:val="24"/>
        </w:rPr>
      </w:pPr>
    </w:p>
    <w:p w14:paraId="6B42C2F2" w14:textId="7B3DAD8E" w:rsidR="00CC293D" w:rsidRDefault="00CC293D" w:rsidP="0069034A">
      <w:pPr>
        <w:spacing w:before="120" w:after="120" w:line="240" w:lineRule="auto"/>
        <w:ind w:right="2051"/>
        <w:rPr>
          <w:rFonts w:ascii="Arial" w:hAnsi="Arial" w:cs="Arial"/>
          <w:sz w:val="24"/>
          <w:szCs w:val="24"/>
        </w:rPr>
      </w:pPr>
    </w:p>
    <w:p w14:paraId="3F8598CD" w14:textId="7862A5B8" w:rsidR="00CC293D" w:rsidRDefault="00CC293D" w:rsidP="0069034A">
      <w:pPr>
        <w:pStyle w:val="Heading2"/>
        <w:shd w:val="clear" w:color="auto" w:fill="FFFFFF"/>
        <w:spacing w:before="120" w:beforeAutospacing="0" w:after="120" w:afterAutospacing="0"/>
        <w:rPr>
          <w:rFonts w:ascii="Arial" w:hAnsi="Arial" w:cs="Arial"/>
          <w:color w:val="333333"/>
          <w:sz w:val="26"/>
          <w:szCs w:val="26"/>
        </w:rPr>
      </w:pPr>
      <w:r>
        <w:rPr>
          <w:rFonts w:ascii="Arial" w:hAnsi="Arial" w:cs="Arial"/>
          <w:color w:val="333333"/>
          <w:sz w:val="26"/>
          <w:szCs w:val="26"/>
        </w:rPr>
        <w:t xml:space="preserve">Comments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50"/>
      </w:tblGrid>
      <w:tr w:rsidR="00CC293D" w14:paraId="50ABBAE6" w14:textId="77777777" w:rsidTr="00CC293D">
        <w:trPr>
          <w:tblCellSpacing w:w="15" w:type="dxa"/>
        </w:trPr>
        <w:tc>
          <w:tcPr>
            <w:tcW w:w="0" w:type="auto"/>
            <w:tcMar>
              <w:top w:w="0" w:type="dxa"/>
              <w:left w:w="0" w:type="dxa"/>
              <w:bottom w:w="0" w:type="dxa"/>
              <w:right w:w="0" w:type="dxa"/>
            </w:tcMar>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90"/>
            </w:tblGrid>
            <w:tr w:rsidR="00442AB4" w14:paraId="569528DB" w14:textId="77777777" w:rsidTr="0095739B">
              <w:trPr>
                <w:tblCellSpacing w:w="15" w:type="dxa"/>
              </w:trPr>
              <w:tc>
                <w:tcPr>
                  <w:tcW w:w="0" w:type="auto"/>
                  <w:tcMar>
                    <w:top w:w="0" w:type="dxa"/>
                    <w:left w:w="0" w:type="dxa"/>
                    <w:bottom w:w="0" w:type="dxa"/>
                    <w:right w:w="0" w:type="dxa"/>
                  </w:tcMar>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30"/>
                  </w:tblGrid>
                  <w:tr w:rsidR="00442AB4" w14:paraId="4EA7D7DB" w14:textId="77777777" w:rsidTr="0095739B">
                    <w:trPr>
                      <w:tblCellSpacing w:w="15" w:type="dxa"/>
                    </w:trPr>
                    <w:tc>
                      <w:tcPr>
                        <w:tcW w:w="0" w:type="auto"/>
                        <w:tcMar>
                          <w:top w:w="0" w:type="dxa"/>
                          <w:left w:w="0" w:type="dxa"/>
                          <w:bottom w:w="0" w:type="dxa"/>
                          <w:right w:w="0" w:type="dxa"/>
                        </w:tcMar>
                        <w:vAlign w:val="center"/>
                        <w:hideMark/>
                      </w:tcPr>
                      <w:p w14:paraId="13D432A6" w14:textId="38B7B804" w:rsidR="00442AB4" w:rsidRDefault="00442AB4" w:rsidP="0069034A">
                        <w:pPr>
                          <w:spacing w:before="120" w:after="120" w:line="240" w:lineRule="auto"/>
                          <w:rPr>
                            <w:rFonts w:ascii="Arial" w:hAnsi="Arial" w:cs="Arial"/>
                          </w:rPr>
                        </w:pPr>
                        <w:r w:rsidRPr="00442AB4">
                          <w:rPr>
                            <w:rFonts w:ascii="Arial" w:hAnsi="Arial" w:cs="Arial"/>
                            <w:b/>
                            <w:bCs/>
                            <w:i/>
                            <w:iCs/>
                          </w:rPr>
                          <w:t xml:space="preserve">14 January 2020 </w:t>
                        </w:r>
                        <w:r>
                          <w:rPr>
                            <w:rFonts w:ascii="Arial" w:hAnsi="Arial" w:cs="Arial"/>
                          </w:rPr>
                          <w:t>16:17</w:t>
                        </w:r>
                        <w:r>
                          <w:rPr>
                            <w:rFonts w:ascii="Arial" w:hAnsi="Arial" w:cs="Arial"/>
                          </w:rPr>
                          <w:br/>
                          <w:t>This is interesting stuff and should provoke some lively discussion. I have some reservations about this approach.</w:t>
                        </w:r>
                        <w:r>
                          <w:rPr>
                            <w:rFonts w:ascii="Arial" w:hAnsi="Arial" w:cs="Arial"/>
                          </w:rPr>
                          <w:br/>
                        </w:r>
                        <w:r>
                          <w:rPr>
                            <w:rFonts w:ascii="Arial" w:hAnsi="Arial" w:cs="Arial"/>
                          </w:rPr>
                          <w:br/>
                          <w:t xml:space="preserve">1. You haven't really set out why we would want to use this method. Isn't the reason for doing so to help us solve quadratic equations (not merely manipulate quadratic expressions)? And isn't the key idea here that, if we can't factorise the LHS of a </w:t>
                        </w:r>
                        <w:r w:rsidR="0069034A">
                          <w:rPr>
                            <w:rFonts w:ascii="Arial" w:hAnsi="Arial" w:cs="Arial"/>
                          </w:rPr>
                          <w:t>quadratic</w:t>
                        </w:r>
                        <w:r>
                          <w:rPr>
                            <w:rFonts w:ascii="Arial" w:hAnsi="Arial" w:cs="Arial"/>
                          </w:rPr>
                          <w:t xml:space="preserve"> equation (where RHS=0), we want to re-write the equation in such a way that the unknown (x) appears only once. If we can achieve this, then, by applying a series of inverse operations, we should be able to isolate x. You come close to actually showing a way of achieving this, which, in the case of x²+6x+5 involves writing this as (x+3)² + A Number. Once the reason for doing this is clear, I would have thought the algebraic symbolising becomes fairly straightforward. Do we really need the geometric model??</w:t>
                        </w:r>
                        <w:r>
                          <w:rPr>
                            <w:rFonts w:ascii="Arial" w:hAnsi="Arial" w:cs="Arial"/>
                          </w:rPr>
                          <w:br/>
                        </w:r>
                        <w:r>
                          <w:rPr>
                            <w:rFonts w:ascii="Arial" w:hAnsi="Arial" w:cs="Arial"/>
                          </w:rPr>
                          <w:br/>
                          <w:t>2. The geometry explains why the method has the name that it has. That's nice to know, though it doesn't necessarily illuminate the process.</w:t>
                        </w:r>
                        <w:r>
                          <w:rPr>
                            <w:rFonts w:ascii="Arial" w:hAnsi="Arial" w:cs="Arial"/>
                          </w:rPr>
                          <w:br/>
                        </w:r>
                        <w:r>
                          <w:rPr>
                            <w:rFonts w:ascii="Arial" w:hAnsi="Arial" w:cs="Arial"/>
                          </w:rPr>
                          <w:br/>
                          <w:t>3. The area model is powerful, but it takes a lot of (worthwhile) work to understand it. The algebra tiles model might be powerful too (maybe), but it is even harder to understand, especially the idea that a specific size of tile can represent an unknown quantity, and that some tiles seem to represent 'square' quantities and some 'linear' quantities. Sensibly, you make the point that the Algebra Tiles approach is more likely to make sense to students if they have used the tiles regularly in KS3 and 4. I think that is probably true, at least to the extent that the approach will almost certainly be hard to understand if students aren't familiar with the Tiles. I still wonder though, whether the tiles add much to the 'purposeful' symbolising approach outlined in point (1).</w:t>
                        </w:r>
                        <w:r>
                          <w:rPr>
                            <w:rFonts w:ascii="Arial" w:hAnsi="Arial" w:cs="Arial"/>
                          </w:rPr>
                          <w:br/>
                          <w:t>By </w:t>
                        </w:r>
                        <w:hyperlink r:id="rId42" w:history="1">
                          <w:r>
                            <w:rPr>
                              <w:rStyle w:val="Hyperlink"/>
                              <w:rFonts w:ascii="Arial" w:hAnsi="Arial" w:cs="Arial"/>
                              <w:b/>
                              <w:bCs/>
                              <w:color w:val="996699"/>
                            </w:rPr>
                            <w:t>DietmarKüchemann</w:t>
                          </w:r>
                        </w:hyperlink>
                      </w:p>
                    </w:tc>
                  </w:tr>
                </w:tbl>
                <w:p w14:paraId="1810C653" w14:textId="77777777" w:rsidR="00442AB4" w:rsidRDefault="00442AB4" w:rsidP="0069034A">
                  <w:pPr>
                    <w:spacing w:before="120" w:after="120" w:line="240" w:lineRule="auto"/>
                    <w:rPr>
                      <w:rFonts w:ascii="Arial" w:hAnsi="Arial" w:cs="Arial"/>
                    </w:rPr>
                  </w:pPr>
                </w:p>
              </w:tc>
            </w:tr>
          </w:tbl>
          <w:p w14:paraId="5F80A0CC" w14:textId="77777777" w:rsidR="0069034A" w:rsidRDefault="0069034A" w:rsidP="0069034A">
            <w:pPr>
              <w:spacing w:before="120" w:after="120" w:line="240" w:lineRule="auto"/>
              <w:rPr>
                <w:rFonts w:ascii="Arial" w:hAnsi="Arial" w:cs="Arial"/>
                <w:b/>
                <w:bCs/>
                <w:i/>
                <w:iCs/>
              </w:rPr>
            </w:pPr>
          </w:p>
          <w:p w14:paraId="300A2709" w14:textId="7B1B4059" w:rsidR="00442AB4" w:rsidRDefault="00442AB4" w:rsidP="0069034A">
            <w:pPr>
              <w:spacing w:before="120" w:after="120" w:line="240" w:lineRule="auto"/>
            </w:pPr>
            <w:r w:rsidRPr="00442AB4">
              <w:rPr>
                <w:rFonts w:ascii="Arial" w:hAnsi="Arial" w:cs="Arial"/>
                <w:b/>
                <w:bCs/>
                <w:i/>
                <w:iCs/>
              </w:rPr>
              <w:t>15 January 2020</w:t>
            </w:r>
            <w:r>
              <w:rPr>
                <w:rFonts w:ascii="Arial" w:hAnsi="Arial" w:cs="Arial"/>
              </w:rPr>
              <w:t xml:space="preserve"> 10:42</w:t>
            </w:r>
            <w:r>
              <w:rPr>
                <w:rFonts w:ascii="Arial" w:hAnsi="Arial" w:cs="Arial"/>
              </w:rPr>
              <w:br/>
              <w:t>This is really helpful, Dietmar – thank you.</w:t>
            </w:r>
            <w:r>
              <w:rPr>
                <w:rFonts w:ascii="Arial" w:hAnsi="Arial" w:cs="Arial"/>
              </w:rPr>
              <w:br/>
            </w:r>
            <w:r>
              <w:rPr>
                <w:rFonts w:ascii="Arial" w:hAnsi="Arial" w:cs="Arial"/>
              </w:rPr>
              <w:br/>
              <w:t>Your comments have made me reflect on different aspects of working algebraically which students need:</w:t>
            </w:r>
            <w:r>
              <w:rPr>
                <w:rFonts w:ascii="Arial" w:hAnsi="Arial" w:cs="Arial"/>
              </w:rPr>
              <w:br/>
            </w:r>
            <w:r>
              <w:rPr>
                <w:rFonts w:ascii="Arial" w:hAnsi="Arial" w:cs="Arial"/>
              </w:rPr>
              <w:br/>
              <w:t>- Having an understanding of variable;</w:t>
            </w:r>
            <w:r>
              <w:rPr>
                <w:rFonts w:ascii="Arial" w:hAnsi="Arial" w:cs="Arial"/>
              </w:rPr>
              <w:br/>
              <w:t>- Appreciating the meaning of certain manipulations</w:t>
            </w:r>
            <w:r>
              <w:rPr>
                <w:rFonts w:ascii="Arial" w:hAnsi="Arial" w:cs="Arial"/>
              </w:rPr>
              <w:br/>
              <w:t>- Appreciating the purpose of certain symbolic manipulations and why they are useful</w:t>
            </w:r>
            <w:r>
              <w:rPr>
                <w:rFonts w:ascii="Arial" w:hAnsi="Arial" w:cs="Arial"/>
              </w:rPr>
              <w:br/>
              <w:t>- Developing a fluency with symbolic manipulation</w:t>
            </w:r>
            <w:r>
              <w:rPr>
                <w:rFonts w:ascii="Arial" w:hAnsi="Arial" w:cs="Arial"/>
              </w:rPr>
              <w:br/>
            </w:r>
            <w:r>
              <w:rPr>
                <w:rFonts w:ascii="Arial" w:hAnsi="Arial" w:cs="Arial"/>
              </w:rPr>
              <w:br/>
              <w:t>... and the article does focus more on some of these aspects than others.</w:t>
            </w:r>
            <w:r>
              <w:rPr>
                <w:rFonts w:ascii="Arial" w:hAnsi="Arial" w:cs="Arial"/>
              </w:rPr>
              <w:br/>
            </w:r>
            <w:r>
              <w:rPr>
                <w:rFonts w:ascii="Arial" w:hAnsi="Arial" w:cs="Arial"/>
              </w:rPr>
              <w:br/>
              <w:t>An important point to consider, I guess, is that any representation can never get to the heart of an abstract mathematical idea or concept as its concreteness is fundamentally at odds with the abstractness of the idea it is attempting to stand for. So, encouraging students to work with the symbols alongside the tiles is critical so that in moving backwards and forwards across the ‘bridge’ between the worlds of tiles and symbols some meaning is made and some fluency achieved.</w:t>
            </w:r>
            <w:r>
              <w:rPr>
                <w:rFonts w:ascii="Arial" w:hAnsi="Arial" w:cs="Arial"/>
              </w:rPr>
              <w:br/>
            </w:r>
            <w:r>
              <w:rPr>
                <w:rFonts w:ascii="Arial" w:hAnsi="Arial" w:cs="Arial"/>
              </w:rPr>
              <w:br/>
              <w:t>The teachers’ accounts do seem to indicate that students found the tiles helpful in both helping them to make meaning and to attain some fluency.</w:t>
            </w:r>
            <w:r>
              <w:rPr>
                <w:rFonts w:ascii="Arial" w:hAnsi="Arial" w:cs="Arial"/>
              </w:rPr>
              <w:br/>
            </w:r>
            <w:r>
              <w:rPr>
                <w:rFonts w:ascii="Arial" w:hAnsi="Arial" w:cs="Arial"/>
              </w:rPr>
              <w:br/>
              <w:t>Let’s hope this does produce some lively discussion. Comments and responses very welcome from anyone who has read the article.</w:t>
            </w:r>
            <w:r>
              <w:rPr>
                <w:rFonts w:ascii="Arial" w:hAnsi="Arial" w:cs="Arial"/>
              </w:rPr>
              <w:br/>
              <w:t>By </w:t>
            </w:r>
            <w:hyperlink r:id="rId43" w:history="1">
              <w:r>
                <w:rPr>
                  <w:rStyle w:val="Hyperlink"/>
                  <w:rFonts w:ascii="Arial" w:hAnsi="Arial" w:cs="Arial"/>
                  <w:b/>
                  <w:bCs/>
                  <w:color w:val="996699"/>
                </w:rPr>
                <w:t>petegriffin</w:t>
              </w:r>
            </w:hyperlink>
          </w:p>
          <w:p w14:paraId="41D38E76" w14:textId="77777777" w:rsidR="0069034A" w:rsidRDefault="0069034A" w:rsidP="0069034A">
            <w:pPr>
              <w:spacing w:before="120" w:after="120" w:line="240" w:lineRule="auto"/>
              <w:rPr>
                <w:rFonts w:ascii="Arial" w:hAnsi="Arial" w:cs="Arial"/>
                <w:b/>
                <w:bCs/>
                <w:i/>
                <w:iCs/>
              </w:rPr>
            </w:pPr>
          </w:p>
          <w:p w14:paraId="4B5EEDC3" w14:textId="64A5A5B9" w:rsidR="00442AB4" w:rsidRDefault="00442AB4" w:rsidP="0069034A">
            <w:pPr>
              <w:spacing w:before="120" w:after="120" w:line="240" w:lineRule="auto"/>
            </w:pPr>
            <w:r w:rsidRPr="00442AB4">
              <w:rPr>
                <w:rFonts w:ascii="Arial" w:hAnsi="Arial" w:cs="Arial"/>
                <w:b/>
                <w:bCs/>
                <w:i/>
                <w:iCs/>
              </w:rPr>
              <w:t>03 February 2020</w:t>
            </w:r>
            <w:r>
              <w:rPr>
                <w:rFonts w:ascii="Arial" w:hAnsi="Arial" w:cs="Arial"/>
              </w:rPr>
              <w:t xml:space="preserve"> 12:55</w:t>
            </w:r>
            <w:r>
              <w:rPr>
                <w:rFonts w:ascii="Arial" w:hAnsi="Arial" w:cs="Arial"/>
              </w:rPr>
              <w:br/>
              <w:t>This works well for the coefficient of x as an even number but becomes less intuitive when it is odd. Try x^2 +3x -1</w:t>
            </w:r>
            <w:r>
              <w:rPr>
                <w:rFonts w:ascii="Arial" w:hAnsi="Arial" w:cs="Arial"/>
              </w:rPr>
              <w:br/>
            </w:r>
            <w:r>
              <w:rPr>
                <w:rFonts w:ascii="Arial" w:hAnsi="Arial" w:cs="Arial"/>
              </w:rPr>
              <w:br/>
              <w:t>And when the coefficient of x^2 is not 1?</w:t>
            </w:r>
            <w:r>
              <w:rPr>
                <w:rFonts w:ascii="Arial" w:hAnsi="Arial" w:cs="Arial"/>
              </w:rPr>
              <w:br/>
              <w:t>By </w:t>
            </w:r>
            <w:hyperlink r:id="rId44" w:history="1">
              <w:r>
                <w:rPr>
                  <w:rStyle w:val="Hyperlink"/>
                  <w:rFonts w:ascii="Arial" w:hAnsi="Arial" w:cs="Arial"/>
                  <w:b/>
                  <w:bCs/>
                  <w:color w:val="996699"/>
                </w:rPr>
                <w:t>Phil.Wall</w:t>
              </w:r>
            </w:hyperlink>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39"/>
              <w:gridCol w:w="51"/>
            </w:tblGrid>
            <w:tr w:rsidR="00CC293D" w14:paraId="21BDB249" w14:textId="77777777" w:rsidTr="00CC293D">
              <w:trPr>
                <w:tblCellSpacing w:w="15" w:type="dxa"/>
              </w:trPr>
              <w:tc>
                <w:tcPr>
                  <w:tcW w:w="0" w:type="auto"/>
                  <w:tcMar>
                    <w:top w:w="0" w:type="dxa"/>
                    <w:left w:w="0" w:type="dxa"/>
                    <w:bottom w:w="0" w:type="dxa"/>
                    <w:right w:w="0" w:type="dxa"/>
                  </w:tcMar>
                  <w:vAlign w:val="center"/>
                  <w:hideMark/>
                </w:tcPr>
                <w:p w14:paraId="4E939519" w14:textId="77777777" w:rsidR="0069034A" w:rsidRDefault="0069034A" w:rsidP="0069034A">
                  <w:pPr>
                    <w:spacing w:before="120" w:after="120" w:line="240" w:lineRule="auto"/>
                    <w:rPr>
                      <w:rFonts w:ascii="Arial" w:hAnsi="Arial" w:cs="Arial"/>
                      <w:b/>
                      <w:bCs/>
                      <w:i/>
                      <w:iCs/>
                    </w:rPr>
                  </w:pPr>
                </w:p>
                <w:p w14:paraId="040452EC" w14:textId="6C0D200D" w:rsidR="00CC293D" w:rsidRDefault="00CC293D" w:rsidP="0069034A">
                  <w:pPr>
                    <w:spacing w:before="120" w:after="120" w:line="240" w:lineRule="auto"/>
                    <w:rPr>
                      <w:rFonts w:ascii="Arial" w:hAnsi="Arial" w:cs="Arial"/>
                    </w:rPr>
                  </w:pPr>
                  <w:r w:rsidRPr="00442AB4">
                    <w:rPr>
                      <w:rFonts w:ascii="Arial" w:hAnsi="Arial" w:cs="Arial"/>
                      <w:b/>
                      <w:bCs/>
                      <w:i/>
                      <w:iCs/>
                    </w:rPr>
                    <w:t>06 February 2020</w:t>
                  </w:r>
                  <w:r>
                    <w:rPr>
                      <w:rFonts w:ascii="Arial" w:hAnsi="Arial" w:cs="Arial"/>
                    </w:rPr>
                    <w:t xml:space="preserve"> 10:16</w:t>
                  </w:r>
                  <w:r>
                    <w:rPr>
                      <w:rFonts w:ascii="Arial" w:hAnsi="Arial" w:cs="Arial"/>
                    </w:rPr>
                    <w:br/>
                    <w:t>I agree with you that this model breaks down for more complex examples. I think models can be helpful with simple cases to enable understanding of structure. Sometimes models can be adapted for more complex cases – some use the reverse side of algebra tiles to represent negative terms, for example. But for me this all becomes a bit too contrived and I find myself caught up with trying to see how the model represents the maths, rather than with understanding the maths itself. I would suggest that instead of trying to make the model fit the more complex cases, we should be encouraging a more abstract understanding that allows for all complexity. We shouldn’t feel that all our understanding has fallen apart because the model will only take us so far.</w:t>
                  </w:r>
                  <w:r>
                    <w:rPr>
                      <w:rFonts w:ascii="Arial" w:hAnsi="Arial" w:cs="Arial"/>
                    </w:rPr>
                    <w:br/>
                  </w:r>
                  <w:r>
                    <w:rPr>
                      <w:rFonts w:ascii="Arial" w:hAnsi="Arial" w:cs="Arial"/>
                    </w:rPr>
                    <w:br/>
                    <w:t>I have also found that if new equipment/models are introduced with a new concept, the model can become a distraction from the maths and create confusion rather than clarity. Hence my advocacy, in this article, for introducing the area model early and using it continuously so it is a vehicle to introduce new maths, not a distraction from the maths.</w:t>
                  </w:r>
                  <w:r w:rsidR="003E7D11">
                    <w:rPr>
                      <w:rFonts w:ascii="Arial" w:hAnsi="Arial" w:cs="Arial"/>
                    </w:rPr>
                    <w:br/>
                  </w:r>
                  <w:r>
                    <w:rPr>
                      <w:rFonts w:ascii="Arial" w:hAnsi="Arial" w:cs="Arial"/>
                    </w:rPr>
                    <w:t>By </w:t>
                  </w:r>
                  <w:hyperlink r:id="rId45" w:history="1">
                    <w:r>
                      <w:rPr>
                        <w:rStyle w:val="Hyperlink"/>
                        <w:rFonts w:ascii="Arial" w:hAnsi="Arial" w:cs="Arial"/>
                        <w:b/>
                        <w:bCs/>
                        <w:color w:val="996699"/>
                      </w:rPr>
                      <w:t>Gwen_Tresidder</w:t>
                    </w:r>
                  </w:hyperlink>
                </w:p>
              </w:tc>
              <w:tc>
                <w:tcPr>
                  <w:tcW w:w="0" w:type="auto"/>
                  <w:tcMar>
                    <w:top w:w="0" w:type="dxa"/>
                    <w:left w:w="0" w:type="dxa"/>
                    <w:bottom w:w="0" w:type="dxa"/>
                    <w:right w:w="0" w:type="dxa"/>
                  </w:tcMar>
                  <w:vAlign w:val="center"/>
                  <w:hideMark/>
                </w:tcPr>
                <w:p w14:paraId="34EDCC27" w14:textId="528E0FAB" w:rsidR="00CC293D" w:rsidRDefault="00CC293D" w:rsidP="0069034A">
                  <w:pPr>
                    <w:spacing w:before="120" w:after="120" w:line="240" w:lineRule="auto"/>
                    <w:jc w:val="right"/>
                    <w:rPr>
                      <w:rFonts w:ascii="Arial" w:hAnsi="Arial" w:cs="Arial"/>
                    </w:rPr>
                  </w:pPr>
                </w:p>
              </w:tc>
            </w:tr>
          </w:tbl>
          <w:p w14:paraId="056D6441" w14:textId="77777777" w:rsidR="00CC293D" w:rsidRDefault="00CC293D" w:rsidP="0069034A">
            <w:pPr>
              <w:spacing w:before="120" w:after="120" w:line="240" w:lineRule="auto"/>
              <w:rPr>
                <w:rFonts w:ascii="Arial" w:hAnsi="Arial" w:cs="Arial"/>
              </w:rPr>
            </w:pPr>
          </w:p>
        </w:tc>
      </w:tr>
    </w:tbl>
    <w:p w14:paraId="6B48F2B1" w14:textId="77777777" w:rsidR="009873B7" w:rsidRPr="001B3F71" w:rsidRDefault="009873B7" w:rsidP="006D4BF3">
      <w:pPr>
        <w:shd w:val="clear" w:color="auto" w:fill="FFFFFF"/>
        <w:spacing w:before="120" w:after="120" w:line="240" w:lineRule="auto"/>
        <w:rPr>
          <w:rFonts w:ascii="Arial" w:hAnsi="Arial" w:cs="Arial"/>
          <w:sz w:val="24"/>
          <w:szCs w:val="24"/>
        </w:rPr>
      </w:pPr>
    </w:p>
    <w:sectPr w:rsidR="009873B7" w:rsidRPr="001B3F71" w:rsidSect="00BD6751">
      <w:headerReference w:type="even" r:id="rId46"/>
      <w:headerReference w:type="default" r:id="rId47"/>
      <w:footerReference w:type="even" r:id="rId48"/>
      <w:footerReference w:type="default" r:id="rId49"/>
      <w:headerReference w:type="first" r:id="rId50"/>
      <w:footerReference w:type="first" r:id="rId51"/>
      <w:pgSz w:w="11906" w:h="16838"/>
      <w:pgMar w:top="1440" w:right="141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AC5D2" w14:textId="77777777" w:rsidR="00CC293D" w:rsidRDefault="00CC293D" w:rsidP="001F1121">
      <w:pPr>
        <w:spacing w:after="0" w:line="240" w:lineRule="auto"/>
      </w:pPr>
      <w:r>
        <w:separator/>
      </w:r>
    </w:p>
  </w:endnote>
  <w:endnote w:type="continuationSeparator" w:id="0">
    <w:p w14:paraId="30540034" w14:textId="77777777" w:rsidR="00CC293D" w:rsidRDefault="00CC293D" w:rsidP="001F11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874E4" w14:textId="77777777" w:rsidR="00CC293D" w:rsidRDefault="00CC29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983405"/>
      <w:docPartObj>
        <w:docPartGallery w:val="Page Numbers (Bottom of Page)"/>
        <w:docPartUnique/>
      </w:docPartObj>
    </w:sdtPr>
    <w:sdtEndPr>
      <w:rPr>
        <w:noProof/>
      </w:rPr>
    </w:sdtEndPr>
    <w:sdtContent>
      <w:p w14:paraId="444071FA" w14:textId="77777777" w:rsidR="00CC293D" w:rsidRDefault="00CC293D">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77616094" w14:textId="77777777" w:rsidR="00CC293D" w:rsidRDefault="00CC29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ADDE7" w14:textId="77777777" w:rsidR="00CC293D" w:rsidRDefault="00CC29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4F91C6" w14:textId="77777777" w:rsidR="00CC293D" w:rsidRDefault="00CC293D" w:rsidP="001F1121">
      <w:pPr>
        <w:spacing w:after="0" w:line="240" w:lineRule="auto"/>
      </w:pPr>
      <w:r>
        <w:separator/>
      </w:r>
    </w:p>
  </w:footnote>
  <w:footnote w:type="continuationSeparator" w:id="0">
    <w:p w14:paraId="7D98553B" w14:textId="77777777" w:rsidR="00CC293D" w:rsidRDefault="00CC293D" w:rsidP="001F11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62CD10" w14:textId="77777777" w:rsidR="00CC293D" w:rsidRDefault="00CC29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2AB1C" w14:textId="77777777" w:rsidR="00CC293D" w:rsidRDefault="00CC29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DFD60" w14:textId="77777777" w:rsidR="00CC293D" w:rsidRDefault="00CC29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24F"/>
    <w:rsid w:val="0001524F"/>
    <w:rsid w:val="001B3F71"/>
    <w:rsid w:val="001F1121"/>
    <w:rsid w:val="00340E42"/>
    <w:rsid w:val="003E7D11"/>
    <w:rsid w:val="00442AB4"/>
    <w:rsid w:val="00486C50"/>
    <w:rsid w:val="0069034A"/>
    <w:rsid w:val="006D4BF3"/>
    <w:rsid w:val="006E2CC9"/>
    <w:rsid w:val="0070283F"/>
    <w:rsid w:val="008D1FEA"/>
    <w:rsid w:val="009873B7"/>
    <w:rsid w:val="00BD6751"/>
    <w:rsid w:val="00C04BB6"/>
    <w:rsid w:val="00CC293D"/>
    <w:rsid w:val="00E43827"/>
    <w:rsid w:val="00EC1012"/>
    <w:rsid w:val="00F669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1EE40DD"/>
  <w15:chartTrackingRefBased/>
  <w15:docId w15:val="{3B98372F-DAF6-4D22-99D3-F8F41E0B7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D675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BD675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11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1121"/>
  </w:style>
  <w:style w:type="paragraph" w:styleId="Footer">
    <w:name w:val="footer"/>
    <w:basedOn w:val="Normal"/>
    <w:link w:val="FooterChar"/>
    <w:uiPriority w:val="99"/>
    <w:unhideWhenUsed/>
    <w:rsid w:val="001F11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1121"/>
  </w:style>
  <w:style w:type="character" w:styleId="Hyperlink">
    <w:name w:val="Hyperlink"/>
    <w:semiHidden/>
    <w:unhideWhenUsed/>
    <w:rsid w:val="00340E42"/>
    <w:rPr>
      <w:color w:val="0000FF"/>
      <w:u w:val="single"/>
    </w:rPr>
  </w:style>
  <w:style w:type="character" w:styleId="FollowedHyperlink">
    <w:name w:val="FollowedHyperlink"/>
    <w:basedOn w:val="DefaultParagraphFont"/>
    <w:uiPriority w:val="99"/>
    <w:semiHidden/>
    <w:unhideWhenUsed/>
    <w:rsid w:val="00340E42"/>
    <w:rPr>
      <w:color w:val="954F72" w:themeColor="followedHyperlink"/>
      <w:u w:val="single"/>
    </w:rPr>
  </w:style>
  <w:style w:type="paragraph" w:customStyle="1" w:styleId="msonormal0">
    <w:name w:val="msonormal"/>
    <w:basedOn w:val="Normal"/>
    <w:uiPriority w:val="99"/>
    <w:rsid w:val="00340E4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340E4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40E42"/>
    <w:rPr>
      <w:b/>
      <w:bCs/>
    </w:rPr>
  </w:style>
  <w:style w:type="character" w:customStyle="1" w:styleId="Heading1Char">
    <w:name w:val="Heading 1 Char"/>
    <w:basedOn w:val="DefaultParagraphFont"/>
    <w:link w:val="Heading1"/>
    <w:uiPriority w:val="9"/>
    <w:rsid w:val="00BD675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BD6751"/>
    <w:rPr>
      <w:rFonts w:ascii="Times New Roman" w:eastAsia="Times New Roman" w:hAnsi="Times New Roman" w:cs="Times New Roman"/>
      <w:b/>
      <w:bCs/>
      <w:sz w:val="36"/>
      <w:szCs w:val="36"/>
      <w:lang w:eastAsia="en-GB"/>
    </w:rPr>
  </w:style>
  <w:style w:type="character" w:styleId="Emphasis">
    <w:name w:val="Emphasis"/>
    <w:basedOn w:val="DefaultParagraphFont"/>
    <w:uiPriority w:val="20"/>
    <w:qFormat/>
    <w:rsid w:val="00BD67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004184">
      <w:bodyDiv w:val="1"/>
      <w:marLeft w:val="0"/>
      <w:marRight w:val="0"/>
      <w:marTop w:val="0"/>
      <w:marBottom w:val="0"/>
      <w:divBdr>
        <w:top w:val="none" w:sz="0" w:space="0" w:color="auto"/>
        <w:left w:val="none" w:sz="0" w:space="0" w:color="auto"/>
        <w:bottom w:val="none" w:sz="0" w:space="0" w:color="auto"/>
        <w:right w:val="none" w:sz="0" w:space="0" w:color="auto"/>
      </w:divBdr>
    </w:div>
    <w:div w:id="669259035">
      <w:bodyDiv w:val="1"/>
      <w:marLeft w:val="0"/>
      <w:marRight w:val="0"/>
      <w:marTop w:val="0"/>
      <w:marBottom w:val="0"/>
      <w:divBdr>
        <w:top w:val="none" w:sz="0" w:space="0" w:color="auto"/>
        <w:left w:val="none" w:sz="0" w:space="0" w:color="auto"/>
        <w:bottom w:val="none" w:sz="0" w:space="0" w:color="auto"/>
        <w:right w:val="none" w:sz="0" w:space="0" w:color="auto"/>
      </w:divBdr>
    </w:div>
    <w:div w:id="1739522882">
      <w:bodyDiv w:val="1"/>
      <w:marLeft w:val="0"/>
      <w:marRight w:val="0"/>
      <w:marTop w:val="0"/>
      <w:marBottom w:val="0"/>
      <w:divBdr>
        <w:top w:val="none" w:sz="0" w:space="0" w:color="auto"/>
        <w:left w:val="none" w:sz="0" w:space="0" w:color="auto"/>
        <w:bottom w:val="none" w:sz="0" w:space="0" w:color="auto"/>
        <w:right w:val="none" w:sz="0" w:space="0" w:color="auto"/>
      </w:divBdr>
    </w:div>
    <w:div w:id="1922250006">
      <w:bodyDiv w:val="1"/>
      <w:marLeft w:val="0"/>
      <w:marRight w:val="0"/>
      <w:marTop w:val="0"/>
      <w:marBottom w:val="0"/>
      <w:divBdr>
        <w:top w:val="none" w:sz="0" w:space="0" w:color="auto"/>
        <w:left w:val="none" w:sz="0" w:space="0" w:color="auto"/>
        <w:bottom w:val="none" w:sz="0" w:space="0" w:color="auto"/>
        <w:right w:val="none" w:sz="0" w:space="0" w:color="auto"/>
      </w:divBdr>
      <w:divsChild>
        <w:div w:id="1400593891">
          <w:marLeft w:val="0"/>
          <w:marRight w:val="150"/>
          <w:marTop w:val="0"/>
          <w:marBottom w:val="0"/>
          <w:divBdr>
            <w:top w:val="none" w:sz="0" w:space="0" w:color="auto"/>
            <w:left w:val="none" w:sz="0" w:space="0" w:color="auto"/>
            <w:bottom w:val="none" w:sz="0" w:space="0" w:color="auto"/>
            <w:right w:val="none" w:sz="0" w:space="0" w:color="auto"/>
          </w:divBdr>
        </w:div>
      </w:divsChild>
    </w:div>
    <w:div w:id="1976792810">
      <w:bodyDiv w:val="1"/>
      <w:marLeft w:val="0"/>
      <w:marRight w:val="0"/>
      <w:marTop w:val="0"/>
      <w:marBottom w:val="0"/>
      <w:divBdr>
        <w:top w:val="none" w:sz="0" w:space="0" w:color="auto"/>
        <w:left w:val="none" w:sz="0" w:space="0" w:color="auto"/>
        <w:bottom w:val="none" w:sz="0" w:space="0" w:color="auto"/>
        <w:right w:val="none" w:sz="0" w:space="0" w:color="auto"/>
      </w:divBdr>
      <w:divsChild>
        <w:div w:id="1946039245">
          <w:marLeft w:val="0"/>
          <w:marRight w:val="0"/>
          <w:marTop w:val="0"/>
          <w:marBottom w:val="0"/>
          <w:divBdr>
            <w:top w:val="none" w:sz="0" w:space="0" w:color="auto"/>
            <w:left w:val="none" w:sz="0" w:space="0" w:color="auto"/>
            <w:bottom w:val="none" w:sz="0" w:space="0" w:color="auto"/>
            <w:right w:val="none" w:sz="0" w:space="0" w:color="auto"/>
          </w:divBdr>
        </w:div>
        <w:div w:id="1667977907">
          <w:marLeft w:val="0"/>
          <w:marRight w:val="0"/>
          <w:marTop w:val="0"/>
          <w:marBottom w:val="0"/>
          <w:divBdr>
            <w:top w:val="none" w:sz="0" w:space="0" w:color="auto"/>
            <w:left w:val="none" w:sz="0" w:space="0" w:color="auto"/>
            <w:bottom w:val="none" w:sz="0" w:space="0" w:color="auto"/>
            <w:right w:val="none" w:sz="0" w:space="0" w:color="auto"/>
          </w:divBdr>
        </w:div>
        <w:div w:id="1954053082">
          <w:marLeft w:val="0"/>
          <w:marRight w:val="0"/>
          <w:marTop w:val="0"/>
          <w:marBottom w:val="150"/>
          <w:divBdr>
            <w:top w:val="none" w:sz="0" w:space="0" w:color="auto"/>
            <w:left w:val="none" w:sz="0" w:space="0" w:color="auto"/>
            <w:bottom w:val="none" w:sz="0" w:space="0" w:color="auto"/>
            <w:right w:val="none" w:sz="0" w:space="0" w:color="auto"/>
          </w:divBdr>
          <w:divsChild>
            <w:div w:id="2063098109">
              <w:marLeft w:val="0"/>
              <w:marRight w:val="0"/>
              <w:marTop w:val="0"/>
              <w:marBottom w:val="0"/>
              <w:divBdr>
                <w:top w:val="none" w:sz="0" w:space="0" w:color="auto"/>
                <w:left w:val="none" w:sz="0" w:space="0" w:color="auto"/>
                <w:bottom w:val="none" w:sz="0" w:space="0" w:color="auto"/>
                <w:right w:val="none" w:sz="0" w:space="0" w:color="auto"/>
              </w:divBdr>
            </w:div>
          </w:divsChild>
        </w:div>
        <w:div w:id="642200058">
          <w:marLeft w:val="0"/>
          <w:marRight w:val="0"/>
          <w:marTop w:val="0"/>
          <w:marBottom w:val="150"/>
          <w:divBdr>
            <w:top w:val="none" w:sz="0" w:space="0" w:color="auto"/>
            <w:left w:val="none" w:sz="0" w:space="0" w:color="auto"/>
            <w:bottom w:val="none" w:sz="0" w:space="0" w:color="auto"/>
            <w:right w:val="none" w:sz="0" w:space="0" w:color="auto"/>
          </w:divBdr>
          <w:divsChild>
            <w:div w:id="1233657722">
              <w:marLeft w:val="0"/>
              <w:marRight w:val="0"/>
              <w:marTop w:val="0"/>
              <w:marBottom w:val="0"/>
              <w:divBdr>
                <w:top w:val="none" w:sz="0" w:space="0" w:color="auto"/>
                <w:left w:val="none" w:sz="0" w:space="0" w:color="auto"/>
                <w:bottom w:val="none" w:sz="0" w:space="0" w:color="auto"/>
                <w:right w:val="none" w:sz="0" w:space="0" w:color="auto"/>
              </w:divBdr>
            </w:div>
          </w:divsChild>
        </w:div>
        <w:div w:id="965937709">
          <w:marLeft w:val="0"/>
          <w:marRight w:val="0"/>
          <w:marTop w:val="0"/>
          <w:marBottom w:val="150"/>
          <w:divBdr>
            <w:top w:val="none" w:sz="0" w:space="0" w:color="auto"/>
            <w:left w:val="none" w:sz="0" w:space="0" w:color="auto"/>
            <w:bottom w:val="none" w:sz="0" w:space="0" w:color="auto"/>
            <w:right w:val="none" w:sz="0" w:space="0" w:color="auto"/>
          </w:divBdr>
          <w:divsChild>
            <w:div w:id="656081875">
              <w:marLeft w:val="0"/>
              <w:marRight w:val="0"/>
              <w:marTop w:val="0"/>
              <w:marBottom w:val="0"/>
              <w:divBdr>
                <w:top w:val="none" w:sz="0" w:space="0" w:color="auto"/>
                <w:left w:val="none" w:sz="0" w:space="0" w:color="auto"/>
                <w:bottom w:val="none" w:sz="0" w:space="0" w:color="auto"/>
                <w:right w:val="none" w:sz="0" w:space="0" w:color="auto"/>
              </w:divBdr>
            </w:div>
          </w:divsChild>
        </w:div>
        <w:div w:id="1872185285">
          <w:marLeft w:val="0"/>
          <w:marRight w:val="0"/>
          <w:marTop w:val="0"/>
          <w:marBottom w:val="150"/>
          <w:divBdr>
            <w:top w:val="none" w:sz="0" w:space="0" w:color="auto"/>
            <w:left w:val="none" w:sz="0" w:space="0" w:color="auto"/>
            <w:bottom w:val="none" w:sz="0" w:space="0" w:color="auto"/>
            <w:right w:val="none" w:sz="0" w:space="0" w:color="auto"/>
          </w:divBdr>
          <w:divsChild>
            <w:div w:id="160172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image" Target="media/image7.jpeg"/><Relationship Id="rId26" Type="http://schemas.openxmlformats.org/officeDocument/2006/relationships/hyperlink" Target="https://www.ncetm.org.uk/resources/53449" TargetMode="External"/><Relationship Id="rId39" Type="http://schemas.openxmlformats.org/officeDocument/2006/relationships/image" Target="media/image20.gif"/><Relationship Id="rId3" Type="http://schemas.openxmlformats.org/officeDocument/2006/relationships/settings" Target="settings.xml"/><Relationship Id="rId21" Type="http://schemas.openxmlformats.org/officeDocument/2006/relationships/image" Target="media/image10.gif"/><Relationship Id="rId34" Type="http://schemas.openxmlformats.org/officeDocument/2006/relationships/hyperlink" Target="https://www.ncetm.org.uk/files/110720774/ncetm_ks3_arrays_area_models.pdf" TargetMode="External"/><Relationship Id="rId42" Type="http://schemas.openxmlformats.org/officeDocument/2006/relationships/hyperlink" Target="https://www.ncetm.org.uk/~DietmarK%c3%bcchemann" TargetMode="External"/><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hyperlink" Target="https://www.ncetm.org.uk/Default.aspx?page=13&amp;module=res&amp;mode=100&amp;resid=54109&amp;" TargetMode="External"/><Relationship Id="rId12" Type="http://schemas.openxmlformats.org/officeDocument/2006/relationships/image" Target="media/image1.gif"/><Relationship Id="rId17" Type="http://schemas.openxmlformats.org/officeDocument/2006/relationships/image" Target="media/image6.gif"/><Relationship Id="rId25" Type="http://schemas.openxmlformats.org/officeDocument/2006/relationships/image" Target="media/image14.gif"/><Relationship Id="rId33" Type="http://schemas.openxmlformats.org/officeDocument/2006/relationships/hyperlink" Target="https://www.ncetm.org.uk/files/110720772/ncetm_ks3_algebra_tiles.pdf" TargetMode="External"/><Relationship Id="rId38" Type="http://schemas.openxmlformats.org/officeDocument/2006/relationships/hyperlink" Target="https://www.ncetm.org.uk/files/113103367/extract-3.pdf" TargetMode="External"/><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gif"/><Relationship Id="rId29" Type="http://schemas.openxmlformats.org/officeDocument/2006/relationships/image" Target="media/image16.gif"/><Relationship Id="rId41" Type="http://schemas.openxmlformats.org/officeDocument/2006/relationships/hyperlink" Target="https://www.ncetm.org.uk/resources/53789"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ncetm.org.uk/resources/53449" TargetMode="External"/><Relationship Id="rId24" Type="http://schemas.openxmlformats.org/officeDocument/2006/relationships/image" Target="media/image13.gif"/><Relationship Id="rId32" Type="http://schemas.openxmlformats.org/officeDocument/2006/relationships/hyperlink" Target="https://www.ncetm.org.uk/resources/53609" TargetMode="External"/><Relationship Id="rId37" Type="http://schemas.openxmlformats.org/officeDocument/2006/relationships/image" Target="media/image19.gif"/><Relationship Id="rId40" Type="http://schemas.openxmlformats.org/officeDocument/2006/relationships/hyperlink" Target="https://www.ncetm.org.uk/resources/53609" TargetMode="External"/><Relationship Id="rId45" Type="http://schemas.openxmlformats.org/officeDocument/2006/relationships/hyperlink" Target="https://www.ncetm.org.uk/~Gwen_Tresidder" TargetMode="External"/><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gif"/><Relationship Id="rId23" Type="http://schemas.openxmlformats.org/officeDocument/2006/relationships/image" Target="media/image12.gif"/><Relationship Id="rId28" Type="http://schemas.openxmlformats.org/officeDocument/2006/relationships/image" Target="media/image15.jpeg"/><Relationship Id="rId36" Type="http://schemas.openxmlformats.org/officeDocument/2006/relationships/image" Target="media/image18.gif"/><Relationship Id="rId49" Type="http://schemas.openxmlformats.org/officeDocument/2006/relationships/footer" Target="footer2.xml"/><Relationship Id="rId10" Type="http://schemas.openxmlformats.org/officeDocument/2006/relationships/hyperlink" Target="https://www.ncetm.org.uk/files/110720772/ncetm_ks3_algebra_tiles.pdf" TargetMode="External"/><Relationship Id="rId19" Type="http://schemas.openxmlformats.org/officeDocument/2006/relationships/image" Target="media/image8.jpeg"/><Relationship Id="rId31" Type="http://schemas.openxmlformats.org/officeDocument/2006/relationships/image" Target="media/image17.gif"/><Relationship Id="rId44" Type="http://schemas.openxmlformats.org/officeDocument/2006/relationships/hyperlink" Target="https://www.ncetm.org.uk/~Phil.Wall"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cetm.org.uk/~ncetm_administrator" TargetMode="External"/><Relationship Id="rId14" Type="http://schemas.openxmlformats.org/officeDocument/2006/relationships/image" Target="media/image3.gif"/><Relationship Id="rId22" Type="http://schemas.openxmlformats.org/officeDocument/2006/relationships/image" Target="media/image11.gif"/><Relationship Id="rId27" Type="http://schemas.openxmlformats.org/officeDocument/2006/relationships/hyperlink" Target="https://www.ncetm.org.uk/files/110720772/ncetm_ks3_algebra_tiles.pdf" TargetMode="External"/><Relationship Id="rId30" Type="http://schemas.openxmlformats.org/officeDocument/2006/relationships/hyperlink" Target="https://www.ncetm.org.uk/files/113103365/extract-1.pdf" TargetMode="External"/><Relationship Id="rId35" Type="http://schemas.openxmlformats.org/officeDocument/2006/relationships/hyperlink" Target="https://www.ncetm.org.uk/files/113103366/extract-2.pdf" TargetMode="External"/><Relationship Id="rId43" Type="http://schemas.openxmlformats.org/officeDocument/2006/relationships/hyperlink" Target="https://www.ncetm.org.uk/~petegriffin" TargetMode="External"/><Relationship Id="rId48" Type="http://schemas.openxmlformats.org/officeDocument/2006/relationships/footer" Target="footer1.xml"/><Relationship Id="rId8" Type="http://schemas.openxmlformats.org/officeDocument/2006/relationships/hyperlink" Target="https://www.ncetm.org.uk/~ncetm_administrator" TargetMode="External"/><Relationship Id="rId5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B31B0-CAAD-4AF8-9567-B45441437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2300</Words>
  <Characters>13114</Characters>
  <Application>Microsoft Office Word</Application>
  <DocSecurity>4</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Tandi Clausen-May</dc:creator>
  <cp:keywords/>
  <dc:description/>
  <cp:lastModifiedBy>Peter Gates</cp:lastModifiedBy>
  <cp:revision>2</cp:revision>
  <dcterms:created xsi:type="dcterms:W3CDTF">2020-02-15T15:36:00Z</dcterms:created>
  <dcterms:modified xsi:type="dcterms:W3CDTF">2020-02-15T15:36:00Z</dcterms:modified>
</cp:coreProperties>
</file>